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6394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rPr>
          <w:rFonts w:ascii="Arial" w:hAnsi="Arial" w:cs="Arial"/>
          <w:sz w:val="28"/>
          <w:szCs w:val="28"/>
        </w:rPr>
      </w:pPr>
      <w:r w:rsidRPr="00401930">
        <w:rPr>
          <w:rFonts w:ascii="Arial Narrow" w:hAnsi="Arial Narrow" w:cs="Arial Narrow"/>
          <w:b/>
          <w:bCs/>
          <w:sz w:val="28"/>
          <w:szCs w:val="28"/>
        </w:rPr>
        <w:t>Objaśnienia przyjętych wartości do Wieloletniej Prognozy Finansowej Powiatu Średzki na lata 2022-2031.</w:t>
      </w:r>
    </w:p>
    <w:p w14:paraId="65E15CC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sz w:val="20"/>
          <w:szCs w:val="20"/>
        </w:rPr>
        <w:t xml:space="preserve">Obowiązek sporządzenia Wieloletniej Prognozy Finansowej jest jedną z zasadniczych zmian wprowadzonych ustawą </w:t>
      </w:r>
      <w:r w:rsidRPr="00401930">
        <w:rPr>
          <w:rFonts w:ascii="Arial Narrow" w:hAnsi="Arial Narrow" w:cs="Arial"/>
        </w:rPr>
        <w:t>z dnia 27 sierpnia 2009 roku odnoszących się do zagadnień gospodarki finansowej jednostek samorządu terytorialnego. Regulacja ta stwarza możliwość kompleksowej analizy sytuacji finansowej jednostki oraz możliwość oceny podejmowanych przedsięwzięć z perspektywy ich znaczenia dla samorządu. W zamyśle prawodawcy wieloletnia prognoza finansowa jednostki samorządu terytorialnego ma być instrumentem nowoczesnego zarządzania finansami publicznymi.</w:t>
      </w:r>
    </w:p>
    <w:p w14:paraId="11B0E01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W Wieloletniej Prognozie Finansowej Powiatu Średzki zastosowano wzory załączników (załącznik nr 1 oraz załącznik nr 2 do uchwały) zgodnie z Rozporządzeniem Ministra Finansów z dnia 10 stycznia 2013 roku w sprawie wieloletniej prognozy finansowej jednostki samorządu terytorialnego (Dz. U. z 2015 r. poz. 92) z uwzględnieniem zmian wynikających z Rozporządzenia Ministra Finansów, Inwestycji i Rozwoju z dnia 1 października 2019 r. (Dz. U. z 2019 r. poz. 1903) oraz Rozporządzenia Ministra Finansów z dnia 10 sierpnia 2020 r. (Dz. U. z 2020 r. poz. 1381).</w:t>
      </w:r>
    </w:p>
    <w:p w14:paraId="499182C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Podstawą opracowania Wieloletniej Prognozy Finansowej Powiatu Średzki jest projekt uchwały budżetowej na 2022 rok, dane sprawozdawcze z wykonania budżetu Powiatu Średzki za lata 2019 i 2020, wartości planowane na koniec III kwartału 2021 roku oraz Wytyczne Ministra Finansów dotyczące stosowania jednolitych wskaźników makroekonomicznych, będących podstawą oszacowania skutków finansowych projektowanych ustaw (aktualizacja – sierpień 2021 r.). W kolumnie pomocniczej dotyczącej przewidywanego wykonania w 2021 roku wprowadzono wartości, zgodnie z aktualnym planem budżetu Powiatu Średzki na dzień przygotowania projektu.</w:t>
      </w:r>
    </w:p>
    <w:p w14:paraId="6E52335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Art. 227 ust. 1 ustawy z dnia 27 sierpnia 2009 roku o finansach publicznych (</w:t>
      </w:r>
      <w:proofErr w:type="spellStart"/>
      <w:r w:rsidRPr="00401930">
        <w:rPr>
          <w:rFonts w:ascii="Arial Narrow" w:hAnsi="Arial Narrow" w:cs="Arial"/>
        </w:rPr>
        <w:t>t.j</w:t>
      </w:r>
      <w:proofErr w:type="spellEnd"/>
      <w:r w:rsidRPr="00401930">
        <w:rPr>
          <w:rFonts w:ascii="Arial Narrow" w:hAnsi="Arial Narrow" w:cs="Arial"/>
        </w:rPr>
        <w:t>. Dz. U. z 2021 r. poz. 305 z </w:t>
      </w:r>
      <w:proofErr w:type="spellStart"/>
      <w:r w:rsidRPr="00401930">
        <w:rPr>
          <w:rFonts w:ascii="Arial Narrow" w:hAnsi="Arial Narrow" w:cs="Arial"/>
        </w:rPr>
        <w:t>późn</w:t>
      </w:r>
      <w:proofErr w:type="spellEnd"/>
      <w:r w:rsidRPr="00401930">
        <w:rPr>
          <w:rFonts w:ascii="Arial Narrow" w:hAnsi="Arial Narrow" w:cs="Arial"/>
        </w:rPr>
        <w:t>. zm.) zakłada, iż wieloletnia prognoza finansowa obejmuje okres roku budżetowego oraz co najmniej trzech kolejnych lat budżetowych. Z ust. 2 powołanego artykułu wynika, iż prognozę kwoty długu, stanowiącą integralną część wieloletniej prognozy finansowej, sporządza się na okres, na który zaciągnięto lub planuje się zaciągnąć zobowiązanie. Na dzień podjęcia uchwały, spłatę zobowiązań przewiduje się do roku 2031. W związku z powyższym, Wieloletnia Prognoza Finansowa Powiatu Średzki została przygotowana na lata 2022-2031.</w:t>
      </w:r>
    </w:p>
    <w:p w14:paraId="6288EC9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Kwoty wydatków wynikające z limitów wydatków na przedsięwzięcia nie wykraczają poza okres prognozy kwoty długu. Nie planuje się także wydatków z tytułu niewymagalnych poręczeń i gwarancji, które przekraczałyby okres prognozy kwoty długu.</w:t>
      </w:r>
    </w:p>
    <w:p w14:paraId="39E9687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sz w:val="24"/>
          <w:szCs w:val="24"/>
        </w:rPr>
      </w:pPr>
      <w:r w:rsidRPr="00401930">
        <w:rPr>
          <w:rFonts w:ascii="Arial Narrow" w:hAnsi="Arial Narrow" w:cs="Arial"/>
          <w:b/>
          <w:bCs/>
          <w:sz w:val="24"/>
          <w:szCs w:val="24"/>
        </w:rPr>
        <w:t>1. Założenia makroekonomiczne</w:t>
      </w:r>
    </w:p>
    <w:p w14:paraId="4A58C67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Przy opracowaniu prognozy pozycji budżetowych Powiatu Średzki wykorzystano trzy podstawowe mierniki koniunktury gospodarczej – produkt krajowy brutto (PKB) oraz wskaźnik inflacji (CPI) oraz wskaźnik wynagrodzeń. Na ich podstawie oszacowano wartości dochodów i wydatków Powiatu Średzki, co, dzięki konstrukcji i zaawansowanym metodom dokonywania obliczeń, pozwoli realizować w przyszłości właściwą politykę finansową jednostki.</w:t>
      </w:r>
    </w:p>
    <w:p w14:paraId="4AC2900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Zgodnie z zaleceniami Ministra Finansów, prognozę wskazanych pozycji oparto o Wytyczne dotyczące stosowania jednolitych wskaźników makroekonomicznych będących podstawą oszacowania skutków finansowych projektowanych ustaw. Ostatnia dostępna aktualizacja ww. wytycznych miała miejsce 31 sierpnia 2021 r., a dane wynikające z powołanego dokumentu prezentuje tabela 1.</w:t>
      </w:r>
    </w:p>
    <w:p w14:paraId="251C63B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w:sz w:val="18"/>
          <w:szCs w:val="18"/>
        </w:rPr>
      </w:pPr>
      <w:r w:rsidRPr="00401930">
        <w:rPr>
          <w:rFonts w:ascii="Arial Narrow" w:hAnsi="Arial Narrow" w:cs="Arial"/>
          <w:b/>
          <w:bCs/>
          <w:sz w:val="18"/>
          <w:szCs w:val="18"/>
        </w:rPr>
        <w:t>Tabela 1. Dane makroekonomiczne przyjęte do wyliczeń prognozy</w:t>
      </w:r>
    </w:p>
    <w:tbl>
      <w:tblPr>
        <w:tblW w:w="0" w:type="auto"/>
        <w:tblInd w:w="10" w:type="dxa"/>
        <w:tblLayout w:type="fixed"/>
        <w:tblCellMar>
          <w:left w:w="10" w:type="dxa"/>
          <w:right w:w="10" w:type="dxa"/>
        </w:tblCellMar>
        <w:tblLook w:val="0000" w:firstRow="0" w:lastRow="0" w:firstColumn="0" w:lastColumn="0" w:noHBand="0" w:noVBand="0"/>
      </w:tblPr>
      <w:tblGrid>
        <w:gridCol w:w="1070"/>
        <w:gridCol w:w="1070"/>
        <w:gridCol w:w="1070"/>
        <w:gridCol w:w="1070"/>
        <w:gridCol w:w="1070"/>
        <w:gridCol w:w="1070"/>
        <w:gridCol w:w="1070"/>
        <w:gridCol w:w="1070"/>
      </w:tblGrid>
      <w:tr w:rsidR="004F003C" w:rsidRPr="00401930" w14:paraId="3D5A2E06" w14:textId="77777777">
        <w:tc>
          <w:tcPr>
            <w:tcW w:w="1070" w:type="dxa"/>
            <w:tcBorders>
              <w:top w:val="single" w:sz="4" w:space="0" w:color="auto"/>
              <w:left w:val="single" w:sz="4" w:space="0" w:color="auto"/>
              <w:bottom w:val="single" w:sz="4" w:space="0" w:color="auto"/>
              <w:right w:val="single" w:sz="4" w:space="0" w:color="auto"/>
            </w:tcBorders>
            <w:vAlign w:val="bottom"/>
          </w:tcPr>
          <w:p w14:paraId="4D2A310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lastRenderedPageBreak/>
              <w:t>Wskaźnik</w:t>
            </w:r>
          </w:p>
        </w:tc>
        <w:tc>
          <w:tcPr>
            <w:tcW w:w="1070" w:type="dxa"/>
            <w:tcBorders>
              <w:top w:val="single" w:sz="4" w:space="0" w:color="auto"/>
              <w:left w:val="single" w:sz="4" w:space="0" w:color="auto"/>
              <w:bottom w:val="single" w:sz="4" w:space="0" w:color="auto"/>
              <w:right w:val="single" w:sz="4" w:space="0" w:color="auto"/>
            </w:tcBorders>
            <w:vAlign w:val="bottom"/>
          </w:tcPr>
          <w:p w14:paraId="66A7D9A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2022</w:t>
            </w:r>
          </w:p>
        </w:tc>
        <w:tc>
          <w:tcPr>
            <w:tcW w:w="1070" w:type="dxa"/>
            <w:tcBorders>
              <w:top w:val="single" w:sz="4" w:space="0" w:color="auto"/>
              <w:left w:val="single" w:sz="4" w:space="0" w:color="auto"/>
              <w:bottom w:val="single" w:sz="4" w:space="0" w:color="auto"/>
              <w:right w:val="single" w:sz="4" w:space="0" w:color="auto"/>
            </w:tcBorders>
            <w:vAlign w:val="bottom"/>
          </w:tcPr>
          <w:p w14:paraId="5056663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2023</w:t>
            </w:r>
          </w:p>
        </w:tc>
        <w:tc>
          <w:tcPr>
            <w:tcW w:w="1070" w:type="dxa"/>
            <w:tcBorders>
              <w:top w:val="single" w:sz="4" w:space="0" w:color="auto"/>
              <w:left w:val="single" w:sz="4" w:space="0" w:color="auto"/>
              <w:bottom w:val="single" w:sz="4" w:space="0" w:color="auto"/>
              <w:right w:val="single" w:sz="4" w:space="0" w:color="auto"/>
            </w:tcBorders>
            <w:vAlign w:val="bottom"/>
          </w:tcPr>
          <w:p w14:paraId="1D9B1CF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2024</w:t>
            </w:r>
          </w:p>
        </w:tc>
        <w:tc>
          <w:tcPr>
            <w:tcW w:w="1070" w:type="dxa"/>
            <w:tcBorders>
              <w:top w:val="single" w:sz="4" w:space="0" w:color="auto"/>
              <w:left w:val="single" w:sz="4" w:space="0" w:color="auto"/>
              <w:bottom w:val="single" w:sz="4" w:space="0" w:color="auto"/>
              <w:right w:val="single" w:sz="4" w:space="0" w:color="auto"/>
            </w:tcBorders>
            <w:vAlign w:val="bottom"/>
          </w:tcPr>
          <w:p w14:paraId="62B2642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2025</w:t>
            </w:r>
          </w:p>
        </w:tc>
        <w:tc>
          <w:tcPr>
            <w:tcW w:w="1070" w:type="dxa"/>
            <w:tcBorders>
              <w:top w:val="single" w:sz="4" w:space="0" w:color="auto"/>
              <w:left w:val="single" w:sz="4" w:space="0" w:color="auto"/>
              <w:bottom w:val="single" w:sz="4" w:space="0" w:color="auto"/>
              <w:right w:val="single" w:sz="4" w:space="0" w:color="auto"/>
            </w:tcBorders>
            <w:vAlign w:val="bottom"/>
          </w:tcPr>
          <w:p w14:paraId="70B8154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2026</w:t>
            </w:r>
          </w:p>
        </w:tc>
        <w:tc>
          <w:tcPr>
            <w:tcW w:w="1070" w:type="dxa"/>
            <w:tcBorders>
              <w:top w:val="single" w:sz="4" w:space="0" w:color="auto"/>
              <w:left w:val="single" w:sz="4" w:space="0" w:color="auto"/>
              <w:bottom w:val="single" w:sz="4" w:space="0" w:color="auto"/>
              <w:right w:val="single" w:sz="4" w:space="0" w:color="auto"/>
            </w:tcBorders>
            <w:vAlign w:val="bottom"/>
          </w:tcPr>
          <w:p w14:paraId="61148BE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2027</w:t>
            </w:r>
          </w:p>
        </w:tc>
        <w:tc>
          <w:tcPr>
            <w:tcW w:w="1070" w:type="dxa"/>
            <w:tcBorders>
              <w:top w:val="single" w:sz="4" w:space="0" w:color="auto"/>
              <w:left w:val="single" w:sz="4" w:space="0" w:color="auto"/>
              <w:bottom w:val="single" w:sz="4" w:space="0" w:color="auto"/>
              <w:right w:val="single" w:sz="4" w:space="0" w:color="auto"/>
            </w:tcBorders>
            <w:vAlign w:val="bottom"/>
          </w:tcPr>
          <w:p w14:paraId="6C48BBD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2028</w:t>
            </w:r>
          </w:p>
        </w:tc>
      </w:tr>
      <w:tr w:rsidR="004F003C" w:rsidRPr="00401930" w14:paraId="5CA2E057" w14:textId="77777777">
        <w:tc>
          <w:tcPr>
            <w:tcW w:w="1070" w:type="dxa"/>
            <w:tcBorders>
              <w:top w:val="single" w:sz="4" w:space="0" w:color="auto"/>
              <w:left w:val="single" w:sz="4" w:space="0" w:color="auto"/>
              <w:bottom w:val="single" w:sz="4" w:space="0" w:color="auto"/>
              <w:right w:val="single" w:sz="4" w:space="0" w:color="auto"/>
            </w:tcBorders>
          </w:tcPr>
          <w:p w14:paraId="47A461A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PKB</w:t>
            </w:r>
          </w:p>
        </w:tc>
        <w:tc>
          <w:tcPr>
            <w:tcW w:w="1070" w:type="dxa"/>
            <w:tcBorders>
              <w:top w:val="single" w:sz="4" w:space="0" w:color="auto"/>
              <w:left w:val="single" w:sz="4" w:space="0" w:color="auto"/>
              <w:bottom w:val="single" w:sz="4" w:space="0" w:color="auto"/>
              <w:right w:val="single" w:sz="4" w:space="0" w:color="auto"/>
            </w:tcBorders>
          </w:tcPr>
          <w:p w14:paraId="084292A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4,60%</w:t>
            </w:r>
          </w:p>
        </w:tc>
        <w:tc>
          <w:tcPr>
            <w:tcW w:w="1070" w:type="dxa"/>
            <w:tcBorders>
              <w:top w:val="single" w:sz="4" w:space="0" w:color="auto"/>
              <w:left w:val="single" w:sz="4" w:space="0" w:color="auto"/>
              <w:bottom w:val="single" w:sz="4" w:space="0" w:color="auto"/>
              <w:right w:val="single" w:sz="4" w:space="0" w:color="auto"/>
            </w:tcBorders>
          </w:tcPr>
          <w:p w14:paraId="7D01658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3,70%</w:t>
            </w:r>
          </w:p>
        </w:tc>
        <w:tc>
          <w:tcPr>
            <w:tcW w:w="1070" w:type="dxa"/>
            <w:tcBorders>
              <w:top w:val="single" w:sz="4" w:space="0" w:color="auto"/>
              <w:left w:val="single" w:sz="4" w:space="0" w:color="auto"/>
              <w:bottom w:val="single" w:sz="4" w:space="0" w:color="auto"/>
              <w:right w:val="single" w:sz="4" w:space="0" w:color="auto"/>
            </w:tcBorders>
          </w:tcPr>
          <w:p w14:paraId="39A13A8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3,50%</w:t>
            </w:r>
          </w:p>
        </w:tc>
        <w:tc>
          <w:tcPr>
            <w:tcW w:w="1070" w:type="dxa"/>
            <w:tcBorders>
              <w:top w:val="single" w:sz="4" w:space="0" w:color="auto"/>
              <w:left w:val="single" w:sz="4" w:space="0" w:color="auto"/>
              <w:bottom w:val="single" w:sz="4" w:space="0" w:color="auto"/>
              <w:right w:val="single" w:sz="4" w:space="0" w:color="auto"/>
            </w:tcBorders>
          </w:tcPr>
          <w:p w14:paraId="794FD76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3,50%</w:t>
            </w:r>
          </w:p>
        </w:tc>
        <w:tc>
          <w:tcPr>
            <w:tcW w:w="1070" w:type="dxa"/>
            <w:tcBorders>
              <w:top w:val="single" w:sz="4" w:space="0" w:color="auto"/>
              <w:left w:val="single" w:sz="4" w:space="0" w:color="auto"/>
              <w:bottom w:val="single" w:sz="4" w:space="0" w:color="auto"/>
              <w:right w:val="single" w:sz="4" w:space="0" w:color="auto"/>
            </w:tcBorders>
          </w:tcPr>
          <w:p w14:paraId="0707CD1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3,50%</w:t>
            </w:r>
          </w:p>
        </w:tc>
        <w:tc>
          <w:tcPr>
            <w:tcW w:w="1070" w:type="dxa"/>
            <w:tcBorders>
              <w:top w:val="single" w:sz="4" w:space="0" w:color="auto"/>
              <w:left w:val="single" w:sz="4" w:space="0" w:color="auto"/>
              <w:bottom w:val="single" w:sz="4" w:space="0" w:color="auto"/>
              <w:right w:val="single" w:sz="4" w:space="0" w:color="auto"/>
            </w:tcBorders>
          </w:tcPr>
          <w:p w14:paraId="515374D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3,40%</w:t>
            </w:r>
          </w:p>
        </w:tc>
        <w:tc>
          <w:tcPr>
            <w:tcW w:w="1070" w:type="dxa"/>
            <w:tcBorders>
              <w:top w:val="single" w:sz="4" w:space="0" w:color="auto"/>
              <w:left w:val="single" w:sz="4" w:space="0" w:color="auto"/>
              <w:bottom w:val="single" w:sz="4" w:space="0" w:color="auto"/>
              <w:right w:val="single" w:sz="4" w:space="0" w:color="auto"/>
            </w:tcBorders>
          </w:tcPr>
          <w:p w14:paraId="09B76B7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3,30%</w:t>
            </w:r>
          </w:p>
        </w:tc>
      </w:tr>
      <w:tr w:rsidR="004F003C" w:rsidRPr="00401930" w14:paraId="5FEE25C5" w14:textId="77777777">
        <w:tc>
          <w:tcPr>
            <w:tcW w:w="1070" w:type="dxa"/>
            <w:tcBorders>
              <w:top w:val="single" w:sz="4" w:space="0" w:color="auto"/>
              <w:left w:val="single" w:sz="4" w:space="0" w:color="auto"/>
              <w:bottom w:val="single" w:sz="4" w:space="0" w:color="auto"/>
              <w:right w:val="single" w:sz="4" w:space="0" w:color="auto"/>
            </w:tcBorders>
          </w:tcPr>
          <w:p w14:paraId="6F854C3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Inflacja</w:t>
            </w:r>
          </w:p>
        </w:tc>
        <w:tc>
          <w:tcPr>
            <w:tcW w:w="1070" w:type="dxa"/>
            <w:tcBorders>
              <w:top w:val="single" w:sz="4" w:space="0" w:color="auto"/>
              <w:left w:val="single" w:sz="4" w:space="0" w:color="auto"/>
              <w:bottom w:val="single" w:sz="4" w:space="0" w:color="auto"/>
              <w:right w:val="single" w:sz="4" w:space="0" w:color="auto"/>
            </w:tcBorders>
          </w:tcPr>
          <w:p w14:paraId="67C98EF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3,30%</w:t>
            </w:r>
          </w:p>
        </w:tc>
        <w:tc>
          <w:tcPr>
            <w:tcW w:w="1070" w:type="dxa"/>
            <w:tcBorders>
              <w:top w:val="single" w:sz="4" w:space="0" w:color="auto"/>
              <w:left w:val="single" w:sz="4" w:space="0" w:color="auto"/>
              <w:bottom w:val="single" w:sz="4" w:space="0" w:color="auto"/>
              <w:right w:val="single" w:sz="4" w:space="0" w:color="auto"/>
            </w:tcBorders>
          </w:tcPr>
          <w:p w14:paraId="3A7E10A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3,00%</w:t>
            </w:r>
          </w:p>
        </w:tc>
        <w:tc>
          <w:tcPr>
            <w:tcW w:w="1070" w:type="dxa"/>
            <w:tcBorders>
              <w:top w:val="single" w:sz="4" w:space="0" w:color="auto"/>
              <w:left w:val="single" w:sz="4" w:space="0" w:color="auto"/>
              <w:bottom w:val="single" w:sz="4" w:space="0" w:color="auto"/>
              <w:right w:val="single" w:sz="4" w:space="0" w:color="auto"/>
            </w:tcBorders>
          </w:tcPr>
          <w:p w14:paraId="1152246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2,70%</w:t>
            </w:r>
          </w:p>
        </w:tc>
        <w:tc>
          <w:tcPr>
            <w:tcW w:w="1070" w:type="dxa"/>
            <w:tcBorders>
              <w:top w:val="single" w:sz="4" w:space="0" w:color="auto"/>
              <w:left w:val="single" w:sz="4" w:space="0" w:color="auto"/>
              <w:bottom w:val="single" w:sz="4" w:space="0" w:color="auto"/>
              <w:right w:val="single" w:sz="4" w:space="0" w:color="auto"/>
            </w:tcBorders>
          </w:tcPr>
          <w:p w14:paraId="174C14D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2,50%</w:t>
            </w:r>
          </w:p>
        </w:tc>
        <w:tc>
          <w:tcPr>
            <w:tcW w:w="1070" w:type="dxa"/>
            <w:tcBorders>
              <w:top w:val="single" w:sz="4" w:space="0" w:color="auto"/>
              <w:left w:val="single" w:sz="4" w:space="0" w:color="auto"/>
              <w:bottom w:val="single" w:sz="4" w:space="0" w:color="auto"/>
              <w:right w:val="single" w:sz="4" w:space="0" w:color="auto"/>
            </w:tcBorders>
          </w:tcPr>
          <w:p w14:paraId="5CC801C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2,50%</w:t>
            </w:r>
          </w:p>
        </w:tc>
        <w:tc>
          <w:tcPr>
            <w:tcW w:w="1070" w:type="dxa"/>
            <w:tcBorders>
              <w:top w:val="single" w:sz="4" w:space="0" w:color="auto"/>
              <w:left w:val="single" w:sz="4" w:space="0" w:color="auto"/>
              <w:bottom w:val="single" w:sz="4" w:space="0" w:color="auto"/>
              <w:right w:val="single" w:sz="4" w:space="0" w:color="auto"/>
            </w:tcBorders>
          </w:tcPr>
          <w:p w14:paraId="7FF9E7D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2,50%</w:t>
            </w:r>
          </w:p>
        </w:tc>
        <w:tc>
          <w:tcPr>
            <w:tcW w:w="1070" w:type="dxa"/>
            <w:tcBorders>
              <w:top w:val="single" w:sz="4" w:space="0" w:color="auto"/>
              <w:left w:val="single" w:sz="4" w:space="0" w:color="auto"/>
              <w:bottom w:val="single" w:sz="4" w:space="0" w:color="auto"/>
              <w:right w:val="single" w:sz="4" w:space="0" w:color="auto"/>
            </w:tcBorders>
          </w:tcPr>
          <w:p w14:paraId="313F2EA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2,50%</w:t>
            </w:r>
          </w:p>
        </w:tc>
      </w:tr>
      <w:tr w:rsidR="004F003C" w:rsidRPr="00401930" w14:paraId="26157592" w14:textId="77777777">
        <w:tc>
          <w:tcPr>
            <w:tcW w:w="1070" w:type="dxa"/>
            <w:tcBorders>
              <w:top w:val="single" w:sz="4" w:space="0" w:color="auto"/>
              <w:left w:val="single" w:sz="4" w:space="0" w:color="auto"/>
              <w:bottom w:val="single" w:sz="4" w:space="0" w:color="auto"/>
              <w:right w:val="single" w:sz="4" w:space="0" w:color="auto"/>
            </w:tcBorders>
          </w:tcPr>
          <w:p w14:paraId="4E2BD3A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Wynagrodzenia</w:t>
            </w:r>
          </w:p>
        </w:tc>
        <w:tc>
          <w:tcPr>
            <w:tcW w:w="1070" w:type="dxa"/>
            <w:tcBorders>
              <w:top w:val="single" w:sz="4" w:space="0" w:color="auto"/>
              <w:left w:val="single" w:sz="4" w:space="0" w:color="auto"/>
              <w:bottom w:val="single" w:sz="4" w:space="0" w:color="auto"/>
              <w:right w:val="single" w:sz="4" w:space="0" w:color="auto"/>
            </w:tcBorders>
          </w:tcPr>
          <w:p w14:paraId="026291E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3,30%</w:t>
            </w:r>
          </w:p>
        </w:tc>
        <w:tc>
          <w:tcPr>
            <w:tcW w:w="1070" w:type="dxa"/>
            <w:tcBorders>
              <w:top w:val="single" w:sz="4" w:space="0" w:color="auto"/>
              <w:left w:val="single" w:sz="4" w:space="0" w:color="auto"/>
              <w:bottom w:val="single" w:sz="4" w:space="0" w:color="auto"/>
              <w:right w:val="single" w:sz="4" w:space="0" w:color="auto"/>
            </w:tcBorders>
          </w:tcPr>
          <w:p w14:paraId="1A83BFD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3,40%</w:t>
            </w:r>
          </w:p>
        </w:tc>
        <w:tc>
          <w:tcPr>
            <w:tcW w:w="1070" w:type="dxa"/>
            <w:tcBorders>
              <w:top w:val="single" w:sz="4" w:space="0" w:color="auto"/>
              <w:left w:val="single" w:sz="4" w:space="0" w:color="auto"/>
              <w:bottom w:val="single" w:sz="4" w:space="0" w:color="auto"/>
              <w:right w:val="single" w:sz="4" w:space="0" w:color="auto"/>
            </w:tcBorders>
          </w:tcPr>
          <w:p w14:paraId="4B63065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3,40%</w:t>
            </w:r>
          </w:p>
        </w:tc>
        <w:tc>
          <w:tcPr>
            <w:tcW w:w="1070" w:type="dxa"/>
            <w:tcBorders>
              <w:top w:val="single" w:sz="4" w:space="0" w:color="auto"/>
              <w:left w:val="single" w:sz="4" w:space="0" w:color="auto"/>
              <w:bottom w:val="single" w:sz="4" w:space="0" w:color="auto"/>
              <w:right w:val="single" w:sz="4" w:space="0" w:color="auto"/>
            </w:tcBorders>
          </w:tcPr>
          <w:p w14:paraId="30F78F7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3,50%</w:t>
            </w:r>
          </w:p>
        </w:tc>
        <w:tc>
          <w:tcPr>
            <w:tcW w:w="1070" w:type="dxa"/>
            <w:tcBorders>
              <w:top w:val="single" w:sz="4" w:space="0" w:color="auto"/>
              <w:left w:val="single" w:sz="4" w:space="0" w:color="auto"/>
              <w:bottom w:val="single" w:sz="4" w:space="0" w:color="auto"/>
              <w:right w:val="single" w:sz="4" w:space="0" w:color="auto"/>
            </w:tcBorders>
          </w:tcPr>
          <w:p w14:paraId="2447FA9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3,10%</w:t>
            </w:r>
          </w:p>
        </w:tc>
        <w:tc>
          <w:tcPr>
            <w:tcW w:w="1070" w:type="dxa"/>
            <w:tcBorders>
              <w:top w:val="single" w:sz="4" w:space="0" w:color="auto"/>
              <w:left w:val="single" w:sz="4" w:space="0" w:color="auto"/>
              <w:bottom w:val="single" w:sz="4" w:space="0" w:color="auto"/>
              <w:right w:val="single" w:sz="4" w:space="0" w:color="auto"/>
            </w:tcBorders>
          </w:tcPr>
          <w:p w14:paraId="7864257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3,10%</w:t>
            </w:r>
          </w:p>
        </w:tc>
        <w:tc>
          <w:tcPr>
            <w:tcW w:w="1070" w:type="dxa"/>
            <w:tcBorders>
              <w:top w:val="single" w:sz="4" w:space="0" w:color="auto"/>
              <w:left w:val="single" w:sz="4" w:space="0" w:color="auto"/>
              <w:bottom w:val="single" w:sz="4" w:space="0" w:color="auto"/>
              <w:right w:val="single" w:sz="4" w:space="0" w:color="auto"/>
            </w:tcBorders>
          </w:tcPr>
          <w:p w14:paraId="34FE97E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3,10%</w:t>
            </w:r>
          </w:p>
        </w:tc>
      </w:tr>
      <w:tr w:rsidR="004F003C" w:rsidRPr="00401930" w14:paraId="56C0F53C" w14:textId="77777777">
        <w:tc>
          <w:tcPr>
            <w:tcW w:w="1070" w:type="dxa"/>
            <w:tcBorders>
              <w:top w:val="single" w:sz="4" w:space="0" w:color="auto"/>
              <w:left w:val="single" w:sz="4" w:space="0" w:color="auto"/>
              <w:bottom w:val="single" w:sz="4" w:space="0" w:color="auto"/>
              <w:right w:val="single" w:sz="4" w:space="0" w:color="auto"/>
            </w:tcBorders>
            <w:vAlign w:val="bottom"/>
          </w:tcPr>
          <w:p w14:paraId="204C2BE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Wskaźnik</w:t>
            </w:r>
          </w:p>
        </w:tc>
        <w:tc>
          <w:tcPr>
            <w:tcW w:w="1070" w:type="dxa"/>
            <w:tcBorders>
              <w:top w:val="single" w:sz="4" w:space="0" w:color="auto"/>
              <w:left w:val="single" w:sz="4" w:space="0" w:color="auto"/>
              <w:bottom w:val="single" w:sz="4" w:space="0" w:color="auto"/>
              <w:right w:val="single" w:sz="4" w:space="0" w:color="auto"/>
            </w:tcBorders>
            <w:vAlign w:val="bottom"/>
          </w:tcPr>
          <w:p w14:paraId="253DB3F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2029</w:t>
            </w:r>
          </w:p>
        </w:tc>
        <w:tc>
          <w:tcPr>
            <w:tcW w:w="1070" w:type="dxa"/>
            <w:tcBorders>
              <w:top w:val="single" w:sz="4" w:space="0" w:color="auto"/>
              <w:left w:val="single" w:sz="4" w:space="0" w:color="auto"/>
              <w:bottom w:val="single" w:sz="4" w:space="0" w:color="auto"/>
              <w:right w:val="single" w:sz="4" w:space="0" w:color="auto"/>
            </w:tcBorders>
            <w:vAlign w:val="bottom"/>
          </w:tcPr>
          <w:p w14:paraId="4B2D92D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2030</w:t>
            </w:r>
          </w:p>
        </w:tc>
        <w:tc>
          <w:tcPr>
            <w:tcW w:w="1070" w:type="dxa"/>
            <w:tcBorders>
              <w:top w:val="single" w:sz="4" w:space="0" w:color="auto"/>
              <w:left w:val="single" w:sz="4" w:space="0" w:color="auto"/>
              <w:bottom w:val="single" w:sz="4" w:space="0" w:color="auto"/>
              <w:right w:val="single" w:sz="4" w:space="0" w:color="auto"/>
            </w:tcBorders>
            <w:vAlign w:val="bottom"/>
          </w:tcPr>
          <w:p w14:paraId="2E6673C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2031</w:t>
            </w:r>
          </w:p>
        </w:tc>
        <w:tc>
          <w:tcPr>
            <w:tcW w:w="4280" w:type="dxa"/>
            <w:gridSpan w:val="4"/>
            <w:vMerge w:val="restart"/>
            <w:tcBorders>
              <w:top w:val="single" w:sz="4" w:space="0" w:color="auto"/>
              <w:left w:val="nil"/>
              <w:bottom w:val="single" w:sz="4" w:space="0" w:color="auto"/>
              <w:right w:val="nil"/>
            </w:tcBorders>
            <w:tcMar>
              <w:left w:w="0" w:type="dxa"/>
              <w:right w:w="0" w:type="dxa"/>
            </w:tcMar>
            <w:vAlign w:val="center"/>
          </w:tcPr>
          <w:p w14:paraId="2B7586C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24"/>
                <w:szCs w:val="24"/>
              </w:rPr>
            </w:pPr>
          </w:p>
        </w:tc>
      </w:tr>
      <w:tr w:rsidR="004F003C" w:rsidRPr="00401930" w14:paraId="134B354C" w14:textId="77777777">
        <w:tc>
          <w:tcPr>
            <w:tcW w:w="1070" w:type="dxa"/>
            <w:tcBorders>
              <w:top w:val="single" w:sz="4" w:space="0" w:color="auto"/>
              <w:left w:val="single" w:sz="4" w:space="0" w:color="auto"/>
              <w:bottom w:val="single" w:sz="4" w:space="0" w:color="auto"/>
              <w:right w:val="single" w:sz="4" w:space="0" w:color="auto"/>
            </w:tcBorders>
          </w:tcPr>
          <w:p w14:paraId="438CD05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PKB</w:t>
            </w:r>
          </w:p>
        </w:tc>
        <w:tc>
          <w:tcPr>
            <w:tcW w:w="1070" w:type="dxa"/>
            <w:tcBorders>
              <w:top w:val="single" w:sz="4" w:space="0" w:color="auto"/>
              <w:left w:val="single" w:sz="4" w:space="0" w:color="auto"/>
              <w:bottom w:val="single" w:sz="4" w:space="0" w:color="auto"/>
              <w:right w:val="single" w:sz="4" w:space="0" w:color="auto"/>
            </w:tcBorders>
          </w:tcPr>
          <w:p w14:paraId="0C20A53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3,10%</w:t>
            </w:r>
          </w:p>
        </w:tc>
        <w:tc>
          <w:tcPr>
            <w:tcW w:w="1070" w:type="dxa"/>
            <w:tcBorders>
              <w:top w:val="single" w:sz="4" w:space="0" w:color="auto"/>
              <w:left w:val="single" w:sz="4" w:space="0" w:color="auto"/>
              <w:bottom w:val="single" w:sz="4" w:space="0" w:color="auto"/>
              <w:right w:val="single" w:sz="4" w:space="0" w:color="auto"/>
            </w:tcBorders>
          </w:tcPr>
          <w:p w14:paraId="5B7011F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2,90%</w:t>
            </w:r>
          </w:p>
        </w:tc>
        <w:tc>
          <w:tcPr>
            <w:tcW w:w="1070" w:type="dxa"/>
            <w:tcBorders>
              <w:top w:val="single" w:sz="4" w:space="0" w:color="auto"/>
              <w:left w:val="single" w:sz="4" w:space="0" w:color="auto"/>
              <w:bottom w:val="single" w:sz="4" w:space="0" w:color="auto"/>
              <w:right w:val="single" w:sz="4" w:space="0" w:color="auto"/>
            </w:tcBorders>
          </w:tcPr>
          <w:p w14:paraId="756F084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2,80%</w:t>
            </w:r>
          </w:p>
        </w:tc>
        <w:tc>
          <w:tcPr>
            <w:tcW w:w="4280" w:type="dxa"/>
            <w:gridSpan w:val="4"/>
            <w:vMerge/>
            <w:tcBorders>
              <w:top w:val="nil"/>
              <w:left w:val="nil"/>
              <w:bottom w:val="single" w:sz="4" w:space="0" w:color="auto"/>
              <w:right w:val="nil"/>
            </w:tcBorders>
            <w:tcMar>
              <w:left w:w="0" w:type="dxa"/>
            </w:tcMar>
          </w:tcPr>
          <w:p w14:paraId="3F9D5ED0" w14:textId="77777777" w:rsidR="004F003C" w:rsidRPr="00401930" w:rsidRDefault="004F003C" w:rsidP="004F003C">
            <w:pPr>
              <w:widowControl w:val="0"/>
              <w:autoSpaceDE w:val="0"/>
              <w:autoSpaceDN w:val="0"/>
              <w:adjustRightInd w:val="0"/>
              <w:spacing w:after="0" w:line="240" w:lineRule="auto"/>
              <w:rPr>
                <w:rFonts w:ascii="Arial Narrow" w:hAnsi="Arial Narrow" w:cs="Arial"/>
                <w:sz w:val="20"/>
                <w:szCs w:val="20"/>
              </w:rPr>
            </w:pPr>
          </w:p>
        </w:tc>
      </w:tr>
      <w:tr w:rsidR="004F003C" w:rsidRPr="00401930" w14:paraId="38A409B1" w14:textId="77777777">
        <w:tc>
          <w:tcPr>
            <w:tcW w:w="1070" w:type="dxa"/>
            <w:tcBorders>
              <w:top w:val="single" w:sz="4" w:space="0" w:color="auto"/>
              <w:left w:val="single" w:sz="4" w:space="0" w:color="auto"/>
              <w:bottom w:val="single" w:sz="4" w:space="0" w:color="auto"/>
              <w:right w:val="single" w:sz="4" w:space="0" w:color="auto"/>
            </w:tcBorders>
          </w:tcPr>
          <w:p w14:paraId="47484F0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Inflacja</w:t>
            </w:r>
          </w:p>
        </w:tc>
        <w:tc>
          <w:tcPr>
            <w:tcW w:w="1070" w:type="dxa"/>
            <w:tcBorders>
              <w:top w:val="single" w:sz="4" w:space="0" w:color="auto"/>
              <w:left w:val="single" w:sz="4" w:space="0" w:color="auto"/>
              <w:bottom w:val="single" w:sz="4" w:space="0" w:color="auto"/>
              <w:right w:val="single" w:sz="4" w:space="0" w:color="auto"/>
            </w:tcBorders>
          </w:tcPr>
          <w:p w14:paraId="3C0C455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2,50%</w:t>
            </w:r>
          </w:p>
        </w:tc>
        <w:tc>
          <w:tcPr>
            <w:tcW w:w="1070" w:type="dxa"/>
            <w:tcBorders>
              <w:top w:val="single" w:sz="4" w:space="0" w:color="auto"/>
              <w:left w:val="single" w:sz="4" w:space="0" w:color="auto"/>
              <w:bottom w:val="single" w:sz="4" w:space="0" w:color="auto"/>
              <w:right w:val="single" w:sz="4" w:space="0" w:color="auto"/>
            </w:tcBorders>
          </w:tcPr>
          <w:p w14:paraId="3DCBE76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2,50%</w:t>
            </w:r>
          </w:p>
        </w:tc>
        <w:tc>
          <w:tcPr>
            <w:tcW w:w="1070" w:type="dxa"/>
            <w:tcBorders>
              <w:top w:val="single" w:sz="4" w:space="0" w:color="auto"/>
              <w:left w:val="single" w:sz="4" w:space="0" w:color="auto"/>
              <w:bottom w:val="single" w:sz="4" w:space="0" w:color="auto"/>
              <w:right w:val="single" w:sz="4" w:space="0" w:color="auto"/>
            </w:tcBorders>
          </w:tcPr>
          <w:p w14:paraId="52783B7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2,50%</w:t>
            </w:r>
          </w:p>
        </w:tc>
        <w:tc>
          <w:tcPr>
            <w:tcW w:w="4280" w:type="dxa"/>
            <w:gridSpan w:val="4"/>
            <w:vMerge/>
            <w:tcBorders>
              <w:top w:val="nil"/>
              <w:left w:val="nil"/>
              <w:bottom w:val="single" w:sz="4" w:space="0" w:color="auto"/>
              <w:right w:val="nil"/>
            </w:tcBorders>
            <w:tcMar>
              <w:left w:w="0" w:type="dxa"/>
            </w:tcMar>
          </w:tcPr>
          <w:p w14:paraId="698F4702" w14:textId="77777777" w:rsidR="004F003C" w:rsidRPr="00401930" w:rsidRDefault="004F003C" w:rsidP="004F003C">
            <w:pPr>
              <w:widowControl w:val="0"/>
              <w:autoSpaceDE w:val="0"/>
              <w:autoSpaceDN w:val="0"/>
              <w:adjustRightInd w:val="0"/>
              <w:spacing w:after="0" w:line="240" w:lineRule="auto"/>
              <w:rPr>
                <w:rFonts w:ascii="Arial Narrow" w:hAnsi="Arial Narrow" w:cs="Arial"/>
                <w:sz w:val="20"/>
                <w:szCs w:val="20"/>
              </w:rPr>
            </w:pPr>
          </w:p>
        </w:tc>
      </w:tr>
      <w:tr w:rsidR="004F003C" w:rsidRPr="00401930" w14:paraId="448A2124" w14:textId="77777777">
        <w:tc>
          <w:tcPr>
            <w:tcW w:w="1070" w:type="dxa"/>
            <w:tcBorders>
              <w:top w:val="single" w:sz="4" w:space="0" w:color="auto"/>
              <w:left w:val="single" w:sz="4" w:space="0" w:color="auto"/>
              <w:bottom w:val="single" w:sz="4" w:space="0" w:color="auto"/>
              <w:right w:val="single" w:sz="4" w:space="0" w:color="auto"/>
            </w:tcBorders>
          </w:tcPr>
          <w:p w14:paraId="0814AFB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Wynagrodzenia</w:t>
            </w:r>
          </w:p>
        </w:tc>
        <w:tc>
          <w:tcPr>
            <w:tcW w:w="1070" w:type="dxa"/>
            <w:tcBorders>
              <w:top w:val="single" w:sz="4" w:space="0" w:color="auto"/>
              <w:left w:val="single" w:sz="4" w:space="0" w:color="auto"/>
              <w:bottom w:val="single" w:sz="4" w:space="0" w:color="auto"/>
              <w:right w:val="single" w:sz="4" w:space="0" w:color="auto"/>
            </w:tcBorders>
          </w:tcPr>
          <w:p w14:paraId="1CA5758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3,00%</w:t>
            </w:r>
          </w:p>
        </w:tc>
        <w:tc>
          <w:tcPr>
            <w:tcW w:w="1070" w:type="dxa"/>
            <w:tcBorders>
              <w:top w:val="single" w:sz="4" w:space="0" w:color="auto"/>
              <w:left w:val="single" w:sz="4" w:space="0" w:color="auto"/>
              <w:bottom w:val="single" w:sz="4" w:space="0" w:color="auto"/>
              <w:right w:val="single" w:sz="4" w:space="0" w:color="auto"/>
            </w:tcBorders>
          </w:tcPr>
          <w:p w14:paraId="129A1CB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3,00%</w:t>
            </w:r>
          </w:p>
        </w:tc>
        <w:tc>
          <w:tcPr>
            <w:tcW w:w="1070" w:type="dxa"/>
            <w:tcBorders>
              <w:top w:val="single" w:sz="4" w:space="0" w:color="auto"/>
              <w:left w:val="single" w:sz="4" w:space="0" w:color="auto"/>
              <w:bottom w:val="single" w:sz="4" w:space="0" w:color="auto"/>
              <w:right w:val="single" w:sz="4" w:space="0" w:color="auto"/>
            </w:tcBorders>
          </w:tcPr>
          <w:p w14:paraId="3D4CC1E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3,00%</w:t>
            </w:r>
          </w:p>
        </w:tc>
        <w:tc>
          <w:tcPr>
            <w:tcW w:w="4280" w:type="dxa"/>
            <w:gridSpan w:val="4"/>
            <w:vMerge/>
            <w:tcBorders>
              <w:top w:val="nil"/>
              <w:left w:val="nil"/>
              <w:bottom w:val="single" w:sz="4" w:space="0" w:color="auto"/>
              <w:right w:val="nil"/>
            </w:tcBorders>
            <w:tcMar>
              <w:left w:w="0" w:type="dxa"/>
            </w:tcMar>
          </w:tcPr>
          <w:p w14:paraId="44B73C1E" w14:textId="77777777" w:rsidR="004F003C" w:rsidRPr="00401930" w:rsidRDefault="004F003C" w:rsidP="004F003C">
            <w:pPr>
              <w:widowControl w:val="0"/>
              <w:autoSpaceDE w:val="0"/>
              <w:autoSpaceDN w:val="0"/>
              <w:adjustRightInd w:val="0"/>
              <w:spacing w:after="0" w:line="240" w:lineRule="auto"/>
              <w:rPr>
                <w:rFonts w:ascii="Arial Narrow" w:hAnsi="Arial Narrow" w:cs="Arial"/>
                <w:sz w:val="20"/>
                <w:szCs w:val="20"/>
              </w:rPr>
            </w:pPr>
          </w:p>
        </w:tc>
      </w:tr>
    </w:tbl>
    <w:p w14:paraId="02263E8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sz w:val="16"/>
          <w:szCs w:val="16"/>
        </w:rPr>
      </w:pPr>
      <w:r w:rsidRPr="00401930">
        <w:rPr>
          <w:rFonts w:ascii="Arial Narrow" w:hAnsi="Arial Narrow" w:cs="Arial"/>
          <w:sz w:val="16"/>
          <w:szCs w:val="16"/>
        </w:rPr>
        <w:t>Źródło: Wytyczne dotyczące stosowania jednolitych wskaźników makroekonomicznych będących podstawą oszacowania skutków finansowych projektowanych ustaw. Aktualizacja – 31 sierpnia 2021 r., (www.mf.gov.pl), Warszawa 2021.</w:t>
      </w:r>
    </w:p>
    <w:p w14:paraId="103A138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Prognozę oparto o następujące założenia:</w:t>
      </w:r>
    </w:p>
    <w:p w14:paraId="1F0B919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Arial"/>
        </w:rPr>
        <w:tab/>
        <w:t>1) dla roku 2022 przyjęto wartości wynikające z projektu budżetu;</w:t>
      </w:r>
    </w:p>
    <w:p w14:paraId="19DC0D4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ab/>
        <w:t>2) dla lat 2023 - 2031 prognozę wykonano poprzez indeksację o wskaźniki dynamiki inflacji, dynamiki PKB oraz dynamiki realnej wynagrodzeń brutto.</w:t>
      </w:r>
    </w:p>
    <w:p w14:paraId="29F6B0C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Podzielenie prognozy w powyższy sposób pozwala na realną ocenę możliwości inwestycyjno-kredytowych gminy.</w:t>
      </w:r>
    </w:p>
    <w:p w14:paraId="77E823B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Zgodnie z przyjętym założeniem, dochody i wydatki bieżące w roku 2022 uwzględnione w WPF wynikają z wartości zawartych w projekcie budżetu na 2022 rok. Od 2023 roku dochody i wydatki bieżące ustalono za pomocą wskaźników inflacji, wskaźnika dynamiki PKB oraz wskaźnika dynamiki realnej wynagrodzeń brutto. W tym celu, posłużono się metodą indeksacji wartości bazowych o odpowiednio przypisany dla każdej kategorii budżetowej wskaźnik. Waga zmiennej makroekonomicznej oznacza w jakim stopniu dochody lub wydatki zależą od poziomu wskaźnika z danego roku. Indeksowana zostaje wartość na rok przyszły.</w:t>
      </w:r>
    </w:p>
    <w:p w14:paraId="1FAF45D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Sposób indeksacji za pomocą wag przedstawia poniższy wzór:</w:t>
      </w:r>
    </w:p>
    <w:p w14:paraId="2217875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rPr>
          <w:rFonts w:ascii="Arial Narrow" w:hAnsi="Arial Narrow" w:cs="Arial"/>
        </w:rPr>
      </w:pPr>
      <w:r w:rsidRPr="00401930">
        <w:rPr>
          <w:rFonts w:ascii="Arial Narrow" w:hAnsi="Arial Narrow" w:cs="Calibri"/>
          <w:noProof/>
          <w:sz w:val="24"/>
          <w:szCs w:val="24"/>
          <w:lang w:eastAsia="pl-PL"/>
        </w:rPr>
        <w:drawing>
          <wp:inline distT="0" distB="0" distL="0" distR="0" wp14:anchorId="1A0FCDB1" wp14:editId="6B52B493">
            <wp:extent cx="4153535" cy="15049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153535" cy="150495"/>
                    </a:xfrm>
                    <a:prstGeom prst="rect">
                      <a:avLst/>
                    </a:prstGeom>
                    <a:noFill/>
                    <a:ln w="9525">
                      <a:noFill/>
                      <a:miter lim="800000"/>
                      <a:headEnd/>
                      <a:tailEnd/>
                    </a:ln>
                  </pic:spPr>
                </pic:pic>
              </a:graphicData>
            </a:graphic>
          </wp:inline>
        </w:drawing>
      </w:r>
    </w:p>
    <w:p w14:paraId="7BB0424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Arial"/>
        </w:rPr>
        <w:t>gdzie:</w:t>
      </w:r>
    </w:p>
    <w:p w14:paraId="33EBEC5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Calibri"/>
          <w:noProof/>
          <w:sz w:val="24"/>
          <w:szCs w:val="24"/>
          <w:lang w:eastAsia="pl-PL"/>
        </w:rPr>
        <w:drawing>
          <wp:inline distT="0" distB="0" distL="0" distR="0" wp14:anchorId="5EE64ADC" wp14:editId="43D2C3A5">
            <wp:extent cx="121285" cy="15049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1285" cy="150495"/>
                    </a:xfrm>
                    <a:prstGeom prst="rect">
                      <a:avLst/>
                    </a:prstGeom>
                    <a:noFill/>
                    <a:ln w="9525">
                      <a:noFill/>
                      <a:miter lim="800000"/>
                      <a:headEnd/>
                      <a:tailEnd/>
                    </a:ln>
                  </pic:spPr>
                </pic:pic>
              </a:graphicData>
            </a:graphic>
          </wp:inline>
        </w:drawing>
      </w:r>
      <w:r w:rsidRPr="00401930">
        <w:rPr>
          <w:rFonts w:ascii="Arial Narrow" w:hAnsi="Arial Narrow" w:cs="Arial"/>
        </w:rPr>
        <w:t xml:space="preserve"> - wartość prognozowana danej kategorii dochodów bądź wydatków budżetowych;</w:t>
      </w:r>
    </w:p>
    <w:p w14:paraId="7CD7CA1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Calibri"/>
          <w:noProof/>
          <w:sz w:val="24"/>
          <w:szCs w:val="24"/>
          <w:lang w:eastAsia="pl-PL"/>
        </w:rPr>
        <w:drawing>
          <wp:inline distT="0" distB="0" distL="0" distR="0" wp14:anchorId="07A87619" wp14:editId="64C758CC">
            <wp:extent cx="121285" cy="150495"/>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21285" cy="150495"/>
                    </a:xfrm>
                    <a:prstGeom prst="rect">
                      <a:avLst/>
                    </a:prstGeom>
                    <a:noFill/>
                    <a:ln w="9525">
                      <a:noFill/>
                      <a:miter lim="800000"/>
                      <a:headEnd/>
                      <a:tailEnd/>
                    </a:ln>
                  </pic:spPr>
                </pic:pic>
              </a:graphicData>
            </a:graphic>
          </wp:inline>
        </w:drawing>
      </w:r>
      <w:r w:rsidRPr="00401930">
        <w:rPr>
          <w:rFonts w:ascii="Arial Narrow" w:hAnsi="Arial Narrow" w:cs="Arial"/>
        </w:rPr>
        <w:t xml:space="preserve"> - wartość danej kategorii dochodów bądź wydatków budżetowych w roku poprzedzającym;</w:t>
      </w:r>
    </w:p>
    <w:p w14:paraId="7D71669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Calibri"/>
          <w:noProof/>
          <w:sz w:val="24"/>
          <w:szCs w:val="24"/>
          <w:lang w:eastAsia="pl-PL"/>
        </w:rPr>
        <w:drawing>
          <wp:inline distT="0" distB="0" distL="0" distR="0" wp14:anchorId="4EA68165" wp14:editId="64BEE01F">
            <wp:extent cx="238125" cy="150495"/>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38125" cy="150495"/>
                    </a:xfrm>
                    <a:prstGeom prst="rect">
                      <a:avLst/>
                    </a:prstGeom>
                    <a:noFill/>
                    <a:ln w="9525">
                      <a:noFill/>
                      <a:miter lim="800000"/>
                      <a:headEnd/>
                      <a:tailEnd/>
                    </a:ln>
                  </pic:spPr>
                </pic:pic>
              </a:graphicData>
            </a:graphic>
          </wp:inline>
        </w:drawing>
      </w:r>
      <w:r w:rsidRPr="00401930">
        <w:rPr>
          <w:rFonts w:ascii="Arial Narrow" w:hAnsi="Arial Narrow" w:cs="Arial"/>
        </w:rPr>
        <w:t xml:space="preserve"> - wartość wskaźnika inflacji w roku prognozowanym;</w:t>
      </w:r>
    </w:p>
    <w:p w14:paraId="0279A79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Calibri"/>
          <w:noProof/>
          <w:sz w:val="24"/>
          <w:szCs w:val="24"/>
          <w:lang w:eastAsia="pl-PL"/>
        </w:rPr>
        <w:drawing>
          <wp:inline distT="0" distB="0" distL="0" distR="0" wp14:anchorId="09A8FCB3" wp14:editId="32F32709">
            <wp:extent cx="267335" cy="150495"/>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67335" cy="150495"/>
                    </a:xfrm>
                    <a:prstGeom prst="rect">
                      <a:avLst/>
                    </a:prstGeom>
                    <a:noFill/>
                    <a:ln w="9525">
                      <a:noFill/>
                      <a:miter lim="800000"/>
                      <a:headEnd/>
                      <a:tailEnd/>
                    </a:ln>
                  </pic:spPr>
                </pic:pic>
              </a:graphicData>
            </a:graphic>
          </wp:inline>
        </w:drawing>
      </w:r>
      <w:r w:rsidRPr="00401930">
        <w:rPr>
          <w:rFonts w:ascii="Arial Narrow" w:hAnsi="Arial Narrow" w:cs="Arial"/>
        </w:rPr>
        <w:t xml:space="preserve"> - waga przypisana wskaźnikowi CPI, będąca jego rzeczywistym wpływem na prognozowaną kategorię;</w:t>
      </w:r>
    </w:p>
    <w:p w14:paraId="101E312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Calibri"/>
          <w:noProof/>
          <w:sz w:val="24"/>
          <w:szCs w:val="24"/>
          <w:lang w:eastAsia="pl-PL"/>
        </w:rPr>
        <w:drawing>
          <wp:inline distT="0" distB="0" distL="0" distR="0" wp14:anchorId="352D4D1A" wp14:editId="25F3A734">
            <wp:extent cx="296545" cy="150495"/>
            <wp:effectExtent l="19050" t="0" r="825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96545" cy="150495"/>
                    </a:xfrm>
                    <a:prstGeom prst="rect">
                      <a:avLst/>
                    </a:prstGeom>
                    <a:noFill/>
                    <a:ln w="9525">
                      <a:noFill/>
                      <a:miter lim="800000"/>
                      <a:headEnd/>
                      <a:tailEnd/>
                    </a:ln>
                  </pic:spPr>
                </pic:pic>
              </a:graphicData>
            </a:graphic>
          </wp:inline>
        </w:drawing>
      </w:r>
      <w:r w:rsidRPr="00401930">
        <w:rPr>
          <w:rFonts w:ascii="Arial Narrow" w:hAnsi="Arial Narrow" w:cs="Arial"/>
        </w:rPr>
        <w:t xml:space="preserve"> - wskaźnik dynamiki PKB;</w:t>
      </w:r>
    </w:p>
    <w:p w14:paraId="714F957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Calibri"/>
          <w:noProof/>
          <w:sz w:val="24"/>
          <w:szCs w:val="24"/>
          <w:lang w:eastAsia="pl-PL"/>
        </w:rPr>
        <w:drawing>
          <wp:inline distT="0" distB="0" distL="0" distR="0" wp14:anchorId="0F6237AE" wp14:editId="45FED41E">
            <wp:extent cx="306705" cy="150495"/>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06705" cy="150495"/>
                    </a:xfrm>
                    <a:prstGeom prst="rect">
                      <a:avLst/>
                    </a:prstGeom>
                    <a:noFill/>
                    <a:ln w="9525">
                      <a:noFill/>
                      <a:miter lim="800000"/>
                      <a:headEnd/>
                      <a:tailEnd/>
                    </a:ln>
                  </pic:spPr>
                </pic:pic>
              </a:graphicData>
            </a:graphic>
          </wp:inline>
        </w:drawing>
      </w:r>
      <w:r w:rsidRPr="00401930">
        <w:rPr>
          <w:rFonts w:ascii="Arial Narrow" w:hAnsi="Arial Narrow" w:cs="Arial"/>
        </w:rPr>
        <w:t xml:space="preserve"> - waga przypisana wskaźnikowi dynamiki PKB, będąca jego rzeczywistym wpływem na prognozowaną kategorię;</w:t>
      </w:r>
    </w:p>
    <w:p w14:paraId="15258B8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Calibri"/>
          <w:noProof/>
          <w:sz w:val="24"/>
          <w:szCs w:val="24"/>
          <w:lang w:eastAsia="pl-PL"/>
        </w:rPr>
        <w:drawing>
          <wp:inline distT="0" distB="0" distL="0" distR="0" wp14:anchorId="5C1C6ECB" wp14:editId="49D3512A">
            <wp:extent cx="228600" cy="150495"/>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228600" cy="150495"/>
                    </a:xfrm>
                    <a:prstGeom prst="rect">
                      <a:avLst/>
                    </a:prstGeom>
                    <a:noFill/>
                    <a:ln w="9525">
                      <a:noFill/>
                      <a:miter lim="800000"/>
                      <a:headEnd/>
                      <a:tailEnd/>
                    </a:ln>
                  </pic:spPr>
                </pic:pic>
              </a:graphicData>
            </a:graphic>
          </wp:inline>
        </w:drawing>
      </w:r>
      <w:r w:rsidRPr="00401930">
        <w:rPr>
          <w:rFonts w:ascii="Arial Narrow" w:hAnsi="Arial Narrow" w:cs="Arial"/>
        </w:rPr>
        <w:t xml:space="preserve"> - wskaźnik dynamiki realnej wynagrodzeń brutto w gospodarce narodowej;</w:t>
      </w:r>
    </w:p>
    <w:p w14:paraId="5C65EA8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Calibri"/>
          <w:noProof/>
          <w:sz w:val="24"/>
          <w:szCs w:val="24"/>
          <w:lang w:eastAsia="pl-PL"/>
        </w:rPr>
        <w:drawing>
          <wp:inline distT="0" distB="0" distL="0" distR="0" wp14:anchorId="4ADD95EB" wp14:editId="31CD3429">
            <wp:extent cx="267335" cy="150495"/>
            <wp:effectExtent l="1905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267335" cy="150495"/>
                    </a:xfrm>
                    <a:prstGeom prst="rect">
                      <a:avLst/>
                    </a:prstGeom>
                    <a:noFill/>
                    <a:ln w="9525">
                      <a:noFill/>
                      <a:miter lim="800000"/>
                      <a:headEnd/>
                      <a:tailEnd/>
                    </a:ln>
                  </pic:spPr>
                </pic:pic>
              </a:graphicData>
            </a:graphic>
          </wp:inline>
        </w:drawing>
      </w:r>
      <w:r w:rsidRPr="00401930">
        <w:rPr>
          <w:rFonts w:ascii="Arial Narrow" w:hAnsi="Arial Narrow" w:cs="Arial"/>
        </w:rPr>
        <w:t xml:space="preserve"> - waga przypisana wskaźnikowi dynamiki WB, będąca jego rzeczywistym wpływem na prognozowaną kategorię.</w:t>
      </w:r>
    </w:p>
    <w:p w14:paraId="4CE3BB0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sz w:val="24"/>
          <w:szCs w:val="24"/>
        </w:rPr>
      </w:pPr>
      <w:r w:rsidRPr="00401930">
        <w:rPr>
          <w:rFonts w:ascii="Arial Narrow" w:hAnsi="Arial Narrow" w:cs="Arial"/>
          <w:b/>
          <w:bCs/>
          <w:sz w:val="24"/>
          <w:szCs w:val="24"/>
        </w:rPr>
        <w:t>2. Dochody</w:t>
      </w:r>
    </w:p>
    <w:p w14:paraId="578BB26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 xml:space="preserve">Prognozy dochodów Powiatu Średzki dokonano w podziałach merytorycznych, a następnie sklasyfikowano </w:t>
      </w:r>
      <w:r w:rsidRPr="00401930">
        <w:rPr>
          <w:rFonts w:ascii="Arial Narrow" w:hAnsi="Arial Narrow" w:cs="Arial"/>
        </w:rPr>
        <w:lastRenderedPageBreak/>
        <w:t>w podziały wymagane ustawowo. Podział merytoryczny został sporządzony za pomocą paragrafów klasyfikacji budżetowej i objął dochody bieżące i majątkowe.</w:t>
      </w:r>
    </w:p>
    <w:p w14:paraId="2548A4C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Dochody bieżące prognozowano w podziale na:</w:t>
      </w:r>
    </w:p>
    <w:p w14:paraId="6EE5AA4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Arial"/>
        </w:rPr>
        <w:tab/>
        <w:t>1. dochody z tytułu udziału we wpływach z podatku dochodowego od osób fizycznych;</w:t>
      </w:r>
    </w:p>
    <w:p w14:paraId="7BC22CA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Arial"/>
        </w:rPr>
        <w:tab/>
        <w:t>2. dochody z tytułu udziału we wpływach z podatku dochodowego od osób prawnych;</w:t>
      </w:r>
    </w:p>
    <w:p w14:paraId="6338BC6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Arial"/>
        </w:rPr>
        <w:tab/>
        <w:t>3. subwencję ogólną;</w:t>
      </w:r>
    </w:p>
    <w:p w14:paraId="12A0368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Arial"/>
        </w:rPr>
        <w:tab/>
        <w:t>4. dotacje i środki przeznaczone na cele bieżące;</w:t>
      </w:r>
    </w:p>
    <w:p w14:paraId="27597A1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ab/>
        <w:t>5. pozostałe dochody (m. in.: podatki i opłaty lokalne, grzywny i kary pieniężne, wpływy z usług, odsetki od środków na rachunkach bankowych), w tym: z podatku od nieruchomości.</w:t>
      </w:r>
    </w:p>
    <w:p w14:paraId="2EAEA1E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Dochody majątkowe prognozowano w podziale na:</w:t>
      </w:r>
    </w:p>
    <w:p w14:paraId="7C85B59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Arial"/>
        </w:rPr>
        <w:tab/>
        <w:t>1. dochody ze sprzedaży majątku;</w:t>
      </w:r>
    </w:p>
    <w:p w14:paraId="3094552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ab/>
        <w:t>2. dotacje i środki przeznaczone na inwestycje;</w:t>
      </w:r>
    </w:p>
    <w:p w14:paraId="4594417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b/>
          <w:bCs/>
        </w:rPr>
        <w:t>2.1. Dochody bieżące</w:t>
      </w:r>
    </w:p>
    <w:p w14:paraId="639F585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Uwzględniając dotychczasowe kształtowanie się dochodów budżetu Powiatu Średzki oraz przewidywania na następne lata, w poszczególnych kategoriach dochodów bieżących posłużono się metodą indeksacji wartości bazowych o odpowiednio przypisany dla każdej kategorii budżetowej wskaźnik, za pomocą następujących wag:</w:t>
      </w:r>
    </w:p>
    <w:p w14:paraId="730C64E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w:sz w:val="18"/>
          <w:szCs w:val="18"/>
        </w:rPr>
      </w:pPr>
      <w:r w:rsidRPr="00401930">
        <w:rPr>
          <w:rFonts w:ascii="Arial Narrow" w:hAnsi="Arial Narrow" w:cs="Arial"/>
          <w:b/>
          <w:bCs/>
          <w:sz w:val="18"/>
          <w:szCs w:val="18"/>
        </w:rPr>
        <w:t>Tabela 2. Wagi dla danych makroekonomicznych przyjęte do wyliczeń prognozy dochodów bieżących</w:t>
      </w:r>
    </w:p>
    <w:tbl>
      <w:tblPr>
        <w:tblW w:w="0" w:type="auto"/>
        <w:tblInd w:w="10" w:type="dxa"/>
        <w:tblLayout w:type="fixed"/>
        <w:tblCellMar>
          <w:left w:w="10" w:type="dxa"/>
          <w:right w:w="10" w:type="dxa"/>
        </w:tblCellMar>
        <w:tblLook w:val="0000" w:firstRow="0" w:lastRow="0" w:firstColumn="0" w:lastColumn="0" w:noHBand="0" w:noVBand="0"/>
      </w:tblPr>
      <w:tblGrid>
        <w:gridCol w:w="2853"/>
        <w:gridCol w:w="2853"/>
        <w:gridCol w:w="2853"/>
      </w:tblGrid>
      <w:tr w:rsidR="004F003C" w:rsidRPr="00401930" w14:paraId="1B6B6B05" w14:textId="77777777">
        <w:tc>
          <w:tcPr>
            <w:tcW w:w="2853" w:type="dxa"/>
            <w:tcBorders>
              <w:top w:val="single" w:sz="4" w:space="0" w:color="auto"/>
              <w:left w:val="single" w:sz="4" w:space="0" w:color="auto"/>
              <w:bottom w:val="single" w:sz="4" w:space="0" w:color="auto"/>
              <w:right w:val="single" w:sz="4" w:space="0" w:color="auto"/>
            </w:tcBorders>
            <w:vAlign w:val="bottom"/>
          </w:tcPr>
          <w:p w14:paraId="3D8802A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sz w:val="20"/>
                <w:szCs w:val="20"/>
              </w:rPr>
              <w:t>Wyszczególnienie</w:t>
            </w:r>
          </w:p>
        </w:tc>
        <w:tc>
          <w:tcPr>
            <w:tcW w:w="2853" w:type="dxa"/>
            <w:tcBorders>
              <w:top w:val="single" w:sz="4" w:space="0" w:color="auto"/>
              <w:left w:val="single" w:sz="4" w:space="0" w:color="auto"/>
              <w:bottom w:val="single" w:sz="4" w:space="0" w:color="auto"/>
              <w:right w:val="single" w:sz="4" w:space="0" w:color="auto"/>
            </w:tcBorders>
            <w:vAlign w:val="bottom"/>
          </w:tcPr>
          <w:p w14:paraId="25DBA45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sz w:val="20"/>
                <w:szCs w:val="20"/>
              </w:rPr>
              <w:t>INF</w:t>
            </w:r>
          </w:p>
        </w:tc>
        <w:tc>
          <w:tcPr>
            <w:tcW w:w="2853" w:type="dxa"/>
            <w:tcBorders>
              <w:top w:val="single" w:sz="4" w:space="0" w:color="auto"/>
              <w:left w:val="single" w:sz="4" w:space="0" w:color="auto"/>
              <w:bottom w:val="single" w:sz="4" w:space="0" w:color="auto"/>
              <w:right w:val="single" w:sz="4" w:space="0" w:color="auto"/>
            </w:tcBorders>
            <w:vAlign w:val="bottom"/>
          </w:tcPr>
          <w:p w14:paraId="763CF40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sz w:val="20"/>
                <w:szCs w:val="20"/>
              </w:rPr>
              <w:t>PKB</w:t>
            </w:r>
          </w:p>
        </w:tc>
      </w:tr>
      <w:tr w:rsidR="004F003C" w:rsidRPr="00401930" w14:paraId="30234A29" w14:textId="77777777">
        <w:tc>
          <w:tcPr>
            <w:tcW w:w="2853" w:type="dxa"/>
            <w:tcBorders>
              <w:top w:val="single" w:sz="4" w:space="0" w:color="auto"/>
              <w:left w:val="single" w:sz="4" w:space="0" w:color="auto"/>
              <w:bottom w:val="single" w:sz="4" w:space="0" w:color="auto"/>
              <w:right w:val="single" w:sz="4" w:space="0" w:color="auto"/>
            </w:tcBorders>
            <w:vAlign w:val="bottom"/>
          </w:tcPr>
          <w:p w14:paraId="02F55FA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20"/>
                <w:szCs w:val="20"/>
              </w:rPr>
            </w:pPr>
            <w:r w:rsidRPr="00401930">
              <w:rPr>
                <w:rFonts w:ascii="Arial Narrow" w:hAnsi="Arial Narrow" w:cs="Arial"/>
                <w:sz w:val="20"/>
                <w:szCs w:val="20"/>
              </w:rPr>
              <w:t>dochody z udziału w PIT</w:t>
            </w:r>
          </w:p>
        </w:tc>
        <w:tc>
          <w:tcPr>
            <w:tcW w:w="2853" w:type="dxa"/>
            <w:tcBorders>
              <w:top w:val="single" w:sz="4" w:space="0" w:color="auto"/>
              <w:left w:val="single" w:sz="4" w:space="0" w:color="auto"/>
              <w:bottom w:val="single" w:sz="4" w:space="0" w:color="auto"/>
              <w:right w:val="single" w:sz="4" w:space="0" w:color="auto"/>
            </w:tcBorders>
          </w:tcPr>
          <w:p w14:paraId="1A6281E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2853" w:type="dxa"/>
            <w:tcBorders>
              <w:top w:val="single" w:sz="4" w:space="0" w:color="auto"/>
              <w:left w:val="single" w:sz="4" w:space="0" w:color="auto"/>
              <w:bottom w:val="single" w:sz="4" w:space="0" w:color="auto"/>
              <w:right w:val="single" w:sz="4" w:space="0" w:color="auto"/>
            </w:tcBorders>
          </w:tcPr>
          <w:p w14:paraId="501E294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100,00%</w:t>
            </w:r>
          </w:p>
        </w:tc>
      </w:tr>
      <w:tr w:rsidR="004F003C" w:rsidRPr="00401930" w14:paraId="18BD9528" w14:textId="77777777">
        <w:tc>
          <w:tcPr>
            <w:tcW w:w="2853" w:type="dxa"/>
            <w:tcBorders>
              <w:top w:val="single" w:sz="4" w:space="0" w:color="auto"/>
              <w:left w:val="single" w:sz="4" w:space="0" w:color="auto"/>
              <w:bottom w:val="single" w:sz="4" w:space="0" w:color="auto"/>
              <w:right w:val="single" w:sz="4" w:space="0" w:color="auto"/>
            </w:tcBorders>
            <w:vAlign w:val="bottom"/>
          </w:tcPr>
          <w:p w14:paraId="54E0E2E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20"/>
                <w:szCs w:val="20"/>
              </w:rPr>
            </w:pPr>
            <w:r w:rsidRPr="00401930">
              <w:rPr>
                <w:rFonts w:ascii="Arial Narrow" w:hAnsi="Arial Narrow" w:cs="Arial"/>
                <w:sz w:val="20"/>
                <w:szCs w:val="20"/>
              </w:rPr>
              <w:t>dochody z udziału w CIT</w:t>
            </w:r>
          </w:p>
        </w:tc>
        <w:tc>
          <w:tcPr>
            <w:tcW w:w="2853" w:type="dxa"/>
            <w:tcBorders>
              <w:top w:val="single" w:sz="4" w:space="0" w:color="auto"/>
              <w:left w:val="single" w:sz="4" w:space="0" w:color="auto"/>
              <w:bottom w:val="single" w:sz="4" w:space="0" w:color="auto"/>
              <w:right w:val="single" w:sz="4" w:space="0" w:color="auto"/>
            </w:tcBorders>
          </w:tcPr>
          <w:p w14:paraId="526DBA3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2853" w:type="dxa"/>
            <w:tcBorders>
              <w:top w:val="single" w:sz="4" w:space="0" w:color="auto"/>
              <w:left w:val="single" w:sz="4" w:space="0" w:color="auto"/>
              <w:bottom w:val="single" w:sz="4" w:space="0" w:color="auto"/>
              <w:right w:val="single" w:sz="4" w:space="0" w:color="auto"/>
            </w:tcBorders>
          </w:tcPr>
          <w:p w14:paraId="568DCB5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100,00%</w:t>
            </w:r>
          </w:p>
        </w:tc>
      </w:tr>
      <w:tr w:rsidR="004F003C" w:rsidRPr="00401930" w14:paraId="30833799" w14:textId="77777777">
        <w:tc>
          <w:tcPr>
            <w:tcW w:w="2853" w:type="dxa"/>
            <w:tcBorders>
              <w:top w:val="single" w:sz="4" w:space="0" w:color="auto"/>
              <w:left w:val="single" w:sz="4" w:space="0" w:color="auto"/>
              <w:bottom w:val="single" w:sz="4" w:space="0" w:color="auto"/>
              <w:right w:val="single" w:sz="4" w:space="0" w:color="auto"/>
            </w:tcBorders>
            <w:vAlign w:val="bottom"/>
          </w:tcPr>
          <w:p w14:paraId="3C0FD1E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20"/>
                <w:szCs w:val="20"/>
              </w:rPr>
            </w:pPr>
            <w:r w:rsidRPr="00401930">
              <w:rPr>
                <w:rFonts w:ascii="Arial Narrow" w:hAnsi="Arial Narrow" w:cs="Arial"/>
                <w:sz w:val="20"/>
                <w:szCs w:val="20"/>
              </w:rPr>
              <w:t>subwencja ogólna</w:t>
            </w:r>
          </w:p>
        </w:tc>
        <w:tc>
          <w:tcPr>
            <w:tcW w:w="2853" w:type="dxa"/>
            <w:tcBorders>
              <w:top w:val="single" w:sz="4" w:space="0" w:color="auto"/>
              <w:left w:val="single" w:sz="4" w:space="0" w:color="auto"/>
              <w:bottom w:val="single" w:sz="4" w:space="0" w:color="auto"/>
              <w:right w:val="single" w:sz="4" w:space="0" w:color="auto"/>
            </w:tcBorders>
          </w:tcPr>
          <w:p w14:paraId="45F3A75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2853" w:type="dxa"/>
            <w:tcBorders>
              <w:top w:val="single" w:sz="4" w:space="0" w:color="auto"/>
              <w:left w:val="single" w:sz="4" w:space="0" w:color="auto"/>
              <w:bottom w:val="single" w:sz="4" w:space="0" w:color="auto"/>
              <w:right w:val="single" w:sz="4" w:space="0" w:color="auto"/>
            </w:tcBorders>
          </w:tcPr>
          <w:p w14:paraId="2F677F1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100,00%</w:t>
            </w:r>
          </w:p>
        </w:tc>
      </w:tr>
      <w:tr w:rsidR="004F003C" w:rsidRPr="00401930" w14:paraId="166EF8BA" w14:textId="77777777">
        <w:tc>
          <w:tcPr>
            <w:tcW w:w="2853" w:type="dxa"/>
            <w:tcBorders>
              <w:top w:val="single" w:sz="4" w:space="0" w:color="auto"/>
              <w:left w:val="single" w:sz="4" w:space="0" w:color="auto"/>
              <w:bottom w:val="single" w:sz="4" w:space="0" w:color="auto"/>
              <w:right w:val="single" w:sz="4" w:space="0" w:color="auto"/>
            </w:tcBorders>
            <w:vAlign w:val="bottom"/>
          </w:tcPr>
          <w:p w14:paraId="34F8C2C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20"/>
                <w:szCs w:val="20"/>
              </w:rPr>
            </w:pPr>
            <w:r w:rsidRPr="00401930">
              <w:rPr>
                <w:rFonts w:ascii="Arial Narrow" w:hAnsi="Arial Narrow" w:cs="Arial"/>
                <w:sz w:val="20"/>
                <w:szCs w:val="20"/>
              </w:rPr>
              <w:t>dotacje bieżące</w:t>
            </w:r>
          </w:p>
        </w:tc>
        <w:tc>
          <w:tcPr>
            <w:tcW w:w="2853" w:type="dxa"/>
            <w:tcBorders>
              <w:top w:val="single" w:sz="4" w:space="0" w:color="auto"/>
              <w:left w:val="single" w:sz="4" w:space="0" w:color="auto"/>
              <w:bottom w:val="single" w:sz="4" w:space="0" w:color="auto"/>
              <w:right w:val="single" w:sz="4" w:space="0" w:color="auto"/>
            </w:tcBorders>
          </w:tcPr>
          <w:p w14:paraId="4655DA4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2853" w:type="dxa"/>
            <w:tcBorders>
              <w:top w:val="single" w:sz="4" w:space="0" w:color="auto"/>
              <w:left w:val="single" w:sz="4" w:space="0" w:color="auto"/>
              <w:bottom w:val="single" w:sz="4" w:space="0" w:color="auto"/>
              <w:right w:val="single" w:sz="4" w:space="0" w:color="auto"/>
            </w:tcBorders>
          </w:tcPr>
          <w:p w14:paraId="66A3011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100,00%</w:t>
            </w:r>
          </w:p>
        </w:tc>
      </w:tr>
      <w:tr w:rsidR="004F003C" w:rsidRPr="00401930" w14:paraId="6FA5D4E1" w14:textId="77777777">
        <w:tc>
          <w:tcPr>
            <w:tcW w:w="2853" w:type="dxa"/>
            <w:tcBorders>
              <w:top w:val="single" w:sz="4" w:space="0" w:color="auto"/>
              <w:left w:val="single" w:sz="4" w:space="0" w:color="auto"/>
              <w:bottom w:val="single" w:sz="4" w:space="0" w:color="auto"/>
              <w:right w:val="single" w:sz="4" w:space="0" w:color="auto"/>
            </w:tcBorders>
            <w:vAlign w:val="bottom"/>
          </w:tcPr>
          <w:p w14:paraId="3A48B1B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20"/>
                <w:szCs w:val="20"/>
              </w:rPr>
            </w:pPr>
            <w:r w:rsidRPr="00401930">
              <w:rPr>
                <w:rFonts w:ascii="Arial Narrow" w:hAnsi="Arial Narrow" w:cs="Arial"/>
                <w:sz w:val="20"/>
                <w:szCs w:val="20"/>
              </w:rPr>
              <w:t>pozostałe, w tym:</w:t>
            </w:r>
          </w:p>
        </w:tc>
        <w:tc>
          <w:tcPr>
            <w:tcW w:w="2853" w:type="dxa"/>
            <w:tcBorders>
              <w:top w:val="single" w:sz="4" w:space="0" w:color="auto"/>
              <w:left w:val="single" w:sz="4" w:space="0" w:color="auto"/>
              <w:bottom w:val="single" w:sz="4" w:space="0" w:color="auto"/>
              <w:right w:val="single" w:sz="4" w:space="0" w:color="auto"/>
            </w:tcBorders>
          </w:tcPr>
          <w:p w14:paraId="11D6918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2853" w:type="dxa"/>
            <w:tcBorders>
              <w:top w:val="single" w:sz="4" w:space="0" w:color="auto"/>
              <w:left w:val="single" w:sz="4" w:space="0" w:color="auto"/>
              <w:bottom w:val="single" w:sz="4" w:space="0" w:color="auto"/>
              <w:right w:val="single" w:sz="4" w:space="0" w:color="auto"/>
            </w:tcBorders>
          </w:tcPr>
          <w:p w14:paraId="6F99859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100,00%</w:t>
            </w:r>
          </w:p>
        </w:tc>
      </w:tr>
      <w:tr w:rsidR="004F003C" w:rsidRPr="00401930" w14:paraId="0AB4C1A5" w14:textId="77777777">
        <w:tc>
          <w:tcPr>
            <w:tcW w:w="2853" w:type="dxa"/>
            <w:tcBorders>
              <w:top w:val="single" w:sz="4" w:space="0" w:color="auto"/>
              <w:left w:val="single" w:sz="4" w:space="0" w:color="auto"/>
              <w:bottom w:val="single" w:sz="4" w:space="0" w:color="auto"/>
              <w:right w:val="single" w:sz="4" w:space="0" w:color="auto"/>
            </w:tcBorders>
            <w:vAlign w:val="bottom"/>
          </w:tcPr>
          <w:p w14:paraId="47E4A76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20"/>
                <w:szCs w:val="20"/>
              </w:rPr>
            </w:pPr>
            <w:r w:rsidRPr="00401930">
              <w:rPr>
                <w:rFonts w:ascii="Arial Narrow" w:hAnsi="Arial Narrow" w:cs="Arial"/>
                <w:sz w:val="20"/>
                <w:szCs w:val="20"/>
              </w:rPr>
              <w:t>z podatku od nieruchomości</w:t>
            </w:r>
          </w:p>
        </w:tc>
        <w:tc>
          <w:tcPr>
            <w:tcW w:w="2853" w:type="dxa"/>
            <w:tcBorders>
              <w:top w:val="single" w:sz="4" w:space="0" w:color="auto"/>
              <w:left w:val="single" w:sz="4" w:space="0" w:color="auto"/>
              <w:bottom w:val="single" w:sz="4" w:space="0" w:color="auto"/>
              <w:right w:val="single" w:sz="4" w:space="0" w:color="auto"/>
            </w:tcBorders>
          </w:tcPr>
          <w:p w14:paraId="29F741B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2853" w:type="dxa"/>
            <w:tcBorders>
              <w:top w:val="single" w:sz="4" w:space="0" w:color="auto"/>
              <w:left w:val="single" w:sz="4" w:space="0" w:color="auto"/>
              <w:bottom w:val="single" w:sz="4" w:space="0" w:color="auto"/>
              <w:right w:val="single" w:sz="4" w:space="0" w:color="auto"/>
            </w:tcBorders>
          </w:tcPr>
          <w:p w14:paraId="0DA193E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100,00%</w:t>
            </w:r>
          </w:p>
        </w:tc>
      </w:tr>
    </w:tbl>
    <w:p w14:paraId="5375828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sz w:val="16"/>
          <w:szCs w:val="16"/>
        </w:rPr>
      </w:pPr>
      <w:r w:rsidRPr="00401930">
        <w:rPr>
          <w:rFonts w:ascii="Arial Narrow" w:hAnsi="Arial Narrow" w:cs="Arial"/>
          <w:sz w:val="16"/>
          <w:szCs w:val="16"/>
        </w:rPr>
        <w:t>Źródło: Opracowanie własne.</w:t>
      </w:r>
    </w:p>
    <w:p w14:paraId="5E1E2A1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Arial"/>
          <w:b/>
          <w:bCs/>
        </w:rPr>
        <w:t>Udział w podatkach centralnych</w:t>
      </w:r>
    </w:p>
    <w:p w14:paraId="4642CB5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Jako że ta grupa dochodów pozostaje w bardzo silnym związku z sytuacją makroekonomiczną kraju, przy szacowaniu dochodów z tytułu udziałów w podatku dochodowym od osób fizycznych (PIT) oraz od osób prawnych (CIT) w latach 2022-2031 wzięto pod uwagę założony wskaźnik PKB.</w:t>
      </w:r>
    </w:p>
    <w:p w14:paraId="0B80A26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Arial"/>
          <w:b/>
          <w:bCs/>
        </w:rPr>
        <w:t>Subwencje i dotacje na zadania bieżące</w:t>
      </w:r>
    </w:p>
    <w:p w14:paraId="60E3074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Planowaną kwotę subwencji ogólnej oraz dotacji celowych z budżetu państwa (innych niż środki na dofinansowanie realizacji projektów europejskich) na 2022 rok przyjęto w oparciu o informacje przekazane przez Ministra Finansów. W kolejnych latach prognozy założono wzrost kwoty otrzymywanych dotychczas cyklicznych subwencji i dotacji celowych z budżetu państwa w oparciu o prognozowany wskaźnik PKB.</w:t>
      </w:r>
    </w:p>
    <w:p w14:paraId="009C3CE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b/>
          <w:bCs/>
        </w:rPr>
        <w:t>2.2. Dochody majątkowe</w:t>
      </w:r>
    </w:p>
    <w:p w14:paraId="04D8AC7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Waloryzacji o wskaźniki makroekonomiczne nie poddano dochodów o charakterze majątkowym. Dochody majątkowe, w tym przede wszystkim dochody ze sprzedaży majątku pozbawione są regularności, a ich poziom uzależniony jest od czynników niezależnych, jak np. koniunktura na rynku nieruchomości.</w:t>
      </w:r>
    </w:p>
    <w:p w14:paraId="075DA04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sz w:val="20"/>
          <w:szCs w:val="20"/>
        </w:rPr>
      </w:pPr>
      <w:r w:rsidRPr="00401930">
        <w:rPr>
          <w:rFonts w:ascii="Arial Narrow" w:hAnsi="Arial Narrow" w:cs="Arial"/>
        </w:rPr>
        <w:lastRenderedPageBreak/>
        <w:t xml:space="preserve">W 2022 roku dochody ze sprzedaży majątku zaplanowano na poziomie 29 000,00 zł z tytułu raty za sprzedaż </w:t>
      </w:r>
      <w:proofErr w:type="spellStart"/>
      <w:r w:rsidRPr="00401930">
        <w:rPr>
          <w:rFonts w:ascii="Arial Narrow" w:hAnsi="Arial Narrow" w:cs="Arial"/>
        </w:rPr>
        <w:t>nieruchomosci</w:t>
      </w:r>
      <w:proofErr w:type="spellEnd"/>
      <w:r w:rsidRPr="00401930">
        <w:rPr>
          <w:rFonts w:ascii="Arial Narrow" w:hAnsi="Arial Narrow" w:cs="Arial"/>
        </w:rPr>
        <w:t xml:space="preserve"> w Środzie Śląskiej.</w:t>
      </w:r>
    </w:p>
    <w:p w14:paraId="2DD9E47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sz w:val="24"/>
          <w:szCs w:val="24"/>
        </w:rPr>
      </w:pPr>
      <w:r w:rsidRPr="00401930">
        <w:rPr>
          <w:rFonts w:ascii="Arial Narrow" w:hAnsi="Arial Narrow" w:cs="Arial"/>
          <w:b/>
          <w:bCs/>
          <w:sz w:val="24"/>
          <w:szCs w:val="24"/>
        </w:rPr>
        <w:t>3. Wydatki</w:t>
      </w:r>
    </w:p>
    <w:p w14:paraId="1B1DA32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Prognozy wydatków Powiatu Średzki dokonano w podziale na kategorie wydatków bieżących i wydatków majątkowych.</w:t>
      </w:r>
    </w:p>
    <w:p w14:paraId="5B0965B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b/>
          <w:bCs/>
        </w:rPr>
        <w:t>3.1. Wydatki bieżące</w:t>
      </w:r>
    </w:p>
    <w:p w14:paraId="128EEC3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Wydatki bieżące prognozowano w podziale na:</w:t>
      </w:r>
    </w:p>
    <w:p w14:paraId="1008438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Arial"/>
        </w:rPr>
        <w:tab/>
        <w:t>1) wynagrodzenia i składki od nich naliczane;</w:t>
      </w:r>
    </w:p>
    <w:p w14:paraId="2812AA0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Arial"/>
        </w:rPr>
        <w:tab/>
        <w:t>2) wydatki na poręczenia i gwarancje;</w:t>
      </w:r>
    </w:p>
    <w:p w14:paraId="6F123D5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Arial"/>
        </w:rPr>
        <w:tab/>
        <w:t>3) wydatki związane z obsługą zadłużenia, w tym odsetki i dyskonto;</w:t>
      </w:r>
    </w:p>
    <w:p w14:paraId="29C8082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ab/>
        <w:t>4) pozostałe wydatki bieżące.</w:t>
      </w:r>
    </w:p>
    <w:p w14:paraId="79EE6A9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Zgodnie z założeniami przyjętymi przy prognozie dochodów, dla wydatków bieżących w roku 2022 przyjęto projekt budżetu. W latach 2023-2031 dokonano indeksacji wydatków na wynagrodzenia i pochodne od wynagrodzeń w oparciu o wagi wskaźników inflacji, PKB i wynagrodzeń.</w:t>
      </w:r>
    </w:p>
    <w:p w14:paraId="4A7CA85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Podobne założenia przyjęto w przypadku prognozowania pozostałych wydatków bieżących. O ile w przypadku wydatków na wynagrodzenia, pochodnych od wynagrodzeń i pozostałych wydatków bieżących możliwość zastosowania indeksacji jest uzasadniona, o tyle wydatki związane z obsługą długu są ściśle uzależnione od postanowień zawartych w umowach kredytowych, pożyczkowych i emisji obligacji.</w:t>
      </w:r>
    </w:p>
    <w:p w14:paraId="2B53823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w:sz w:val="18"/>
          <w:szCs w:val="18"/>
        </w:rPr>
      </w:pPr>
      <w:r w:rsidRPr="00401930">
        <w:rPr>
          <w:rFonts w:ascii="Arial Narrow" w:hAnsi="Arial Narrow" w:cs="Arial"/>
          <w:b/>
          <w:bCs/>
          <w:sz w:val="18"/>
          <w:szCs w:val="18"/>
        </w:rPr>
        <w:t>Tabela 4. Wagi dla danych makroekonomicznych przyjęte do wyliczeń prognozy wydatków bieżących</w:t>
      </w:r>
    </w:p>
    <w:tbl>
      <w:tblPr>
        <w:tblW w:w="0" w:type="auto"/>
        <w:tblInd w:w="10" w:type="dxa"/>
        <w:tblLayout w:type="fixed"/>
        <w:tblCellMar>
          <w:left w:w="10" w:type="dxa"/>
          <w:right w:w="10" w:type="dxa"/>
        </w:tblCellMar>
        <w:tblLook w:val="0000" w:firstRow="0" w:lastRow="0" w:firstColumn="0" w:lastColumn="0" w:noHBand="0" w:noVBand="0"/>
      </w:tblPr>
      <w:tblGrid>
        <w:gridCol w:w="2140"/>
        <w:gridCol w:w="2140"/>
        <w:gridCol w:w="2140"/>
        <w:gridCol w:w="2140"/>
      </w:tblGrid>
      <w:tr w:rsidR="004F003C" w:rsidRPr="00401930" w14:paraId="5B397D4D" w14:textId="77777777">
        <w:tc>
          <w:tcPr>
            <w:tcW w:w="2140" w:type="dxa"/>
            <w:tcBorders>
              <w:top w:val="single" w:sz="4" w:space="0" w:color="auto"/>
              <w:left w:val="single" w:sz="4" w:space="0" w:color="auto"/>
              <w:bottom w:val="single" w:sz="4" w:space="0" w:color="auto"/>
              <w:right w:val="single" w:sz="4" w:space="0" w:color="auto"/>
            </w:tcBorders>
            <w:vAlign w:val="bottom"/>
          </w:tcPr>
          <w:p w14:paraId="3DB6C1E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sz w:val="20"/>
                <w:szCs w:val="20"/>
              </w:rPr>
              <w:t>Wyszczególnienie</w:t>
            </w:r>
          </w:p>
        </w:tc>
        <w:tc>
          <w:tcPr>
            <w:tcW w:w="2140" w:type="dxa"/>
            <w:tcBorders>
              <w:top w:val="single" w:sz="4" w:space="0" w:color="auto"/>
              <w:left w:val="single" w:sz="4" w:space="0" w:color="auto"/>
              <w:bottom w:val="single" w:sz="4" w:space="0" w:color="auto"/>
              <w:right w:val="single" w:sz="4" w:space="0" w:color="auto"/>
            </w:tcBorders>
            <w:vAlign w:val="bottom"/>
          </w:tcPr>
          <w:p w14:paraId="2738CF6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sz w:val="20"/>
                <w:szCs w:val="20"/>
              </w:rPr>
              <w:t>INF</w:t>
            </w:r>
          </w:p>
        </w:tc>
        <w:tc>
          <w:tcPr>
            <w:tcW w:w="2140" w:type="dxa"/>
            <w:tcBorders>
              <w:top w:val="single" w:sz="4" w:space="0" w:color="auto"/>
              <w:left w:val="single" w:sz="4" w:space="0" w:color="auto"/>
              <w:bottom w:val="single" w:sz="4" w:space="0" w:color="auto"/>
              <w:right w:val="single" w:sz="4" w:space="0" w:color="auto"/>
            </w:tcBorders>
            <w:vAlign w:val="bottom"/>
          </w:tcPr>
          <w:p w14:paraId="49793CC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sz w:val="20"/>
                <w:szCs w:val="20"/>
              </w:rPr>
              <w:t>PKB</w:t>
            </w:r>
          </w:p>
        </w:tc>
        <w:tc>
          <w:tcPr>
            <w:tcW w:w="2140" w:type="dxa"/>
            <w:tcBorders>
              <w:top w:val="single" w:sz="4" w:space="0" w:color="auto"/>
              <w:left w:val="single" w:sz="4" w:space="0" w:color="auto"/>
              <w:bottom w:val="single" w:sz="4" w:space="0" w:color="auto"/>
              <w:right w:val="single" w:sz="4" w:space="0" w:color="auto"/>
            </w:tcBorders>
            <w:vAlign w:val="bottom"/>
          </w:tcPr>
          <w:p w14:paraId="4B1E0F3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sz w:val="20"/>
                <w:szCs w:val="20"/>
              </w:rPr>
              <w:t>WYNAGR</w:t>
            </w:r>
          </w:p>
        </w:tc>
      </w:tr>
      <w:tr w:rsidR="004F003C" w:rsidRPr="00401930" w14:paraId="38629AF4" w14:textId="77777777">
        <w:tc>
          <w:tcPr>
            <w:tcW w:w="2140" w:type="dxa"/>
            <w:tcBorders>
              <w:top w:val="single" w:sz="4" w:space="0" w:color="auto"/>
              <w:left w:val="single" w:sz="4" w:space="0" w:color="auto"/>
              <w:bottom w:val="single" w:sz="4" w:space="0" w:color="auto"/>
              <w:right w:val="single" w:sz="4" w:space="0" w:color="auto"/>
            </w:tcBorders>
            <w:vAlign w:val="bottom"/>
          </w:tcPr>
          <w:p w14:paraId="4788DD2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20"/>
                <w:szCs w:val="20"/>
              </w:rPr>
            </w:pPr>
            <w:r w:rsidRPr="00401930">
              <w:rPr>
                <w:rFonts w:ascii="Arial Narrow" w:hAnsi="Arial Narrow" w:cs="Arial"/>
                <w:sz w:val="20"/>
                <w:szCs w:val="20"/>
              </w:rPr>
              <w:t>wynagrodzenia i pochodne</w:t>
            </w:r>
          </w:p>
        </w:tc>
        <w:tc>
          <w:tcPr>
            <w:tcW w:w="2140" w:type="dxa"/>
            <w:tcBorders>
              <w:top w:val="single" w:sz="4" w:space="0" w:color="auto"/>
              <w:left w:val="single" w:sz="4" w:space="0" w:color="auto"/>
              <w:bottom w:val="single" w:sz="4" w:space="0" w:color="auto"/>
              <w:right w:val="single" w:sz="4" w:space="0" w:color="auto"/>
            </w:tcBorders>
          </w:tcPr>
          <w:p w14:paraId="6898BD0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100,00%</w:t>
            </w:r>
          </w:p>
        </w:tc>
        <w:tc>
          <w:tcPr>
            <w:tcW w:w="2140" w:type="dxa"/>
            <w:tcBorders>
              <w:top w:val="single" w:sz="4" w:space="0" w:color="auto"/>
              <w:left w:val="single" w:sz="4" w:space="0" w:color="auto"/>
              <w:bottom w:val="single" w:sz="4" w:space="0" w:color="auto"/>
              <w:right w:val="single" w:sz="4" w:space="0" w:color="auto"/>
            </w:tcBorders>
          </w:tcPr>
          <w:p w14:paraId="4699185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2140" w:type="dxa"/>
            <w:tcBorders>
              <w:top w:val="single" w:sz="4" w:space="0" w:color="auto"/>
              <w:left w:val="single" w:sz="4" w:space="0" w:color="auto"/>
              <w:bottom w:val="single" w:sz="4" w:space="0" w:color="auto"/>
              <w:right w:val="single" w:sz="4" w:space="0" w:color="auto"/>
            </w:tcBorders>
          </w:tcPr>
          <w:p w14:paraId="7A4807D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r>
      <w:tr w:rsidR="004F003C" w:rsidRPr="00401930" w14:paraId="1E42CD40" w14:textId="77777777">
        <w:tc>
          <w:tcPr>
            <w:tcW w:w="2140" w:type="dxa"/>
            <w:tcBorders>
              <w:top w:val="single" w:sz="4" w:space="0" w:color="auto"/>
              <w:left w:val="single" w:sz="4" w:space="0" w:color="auto"/>
              <w:bottom w:val="single" w:sz="4" w:space="0" w:color="auto"/>
              <w:right w:val="single" w:sz="4" w:space="0" w:color="auto"/>
            </w:tcBorders>
            <w:vAlign w:val="bottom"/>
          </w:tcPr>
          <w:p w14:paraId="39DF4B3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20"/>
                <w:szCs w:val="20"/>
              </w:rPr>
            </w:pPr>
            <w:r w:rsidRPr="00401930">
              <w:rPr>
                <w:rFonts w:ascii="Arial Narrow" w:hAnsi="Arial Narrow" w:cs="Arial"/>
                <w:sz w:val="20"/>
                <w:szCs w:val="20"/>
              </w:rPr>
              <w:t>inne</w:t>
            </w:r>
          </w:p>
        </w:tc>
        <w:tc>
          <w:tcPr>
            <w:tcW w:w="2140" w:type="dxa"/>
            <w:tcBorders>
              <w:top w:val="single" w:sz="4" w:space="0" w:color="auto"/>
              <w:left w:val="single" w:sz="4" w:space="0" w:color="auto"/>
              <w:bottom w:val="single" w:sz="4" w:space="0" w:color="auto"/>
              <w:right w:val="single" w:sz="4" w:space="0" w:color="auto"/>
            </w:tcBorders>
          </w:tcPr>
          <w:p w14:paraId="46568A1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100,00%</w:t>
            </w:r>
          </w:p>
        </w:tc>
        <w:tc>
          <w:tcPr>
            <w:tcW w:w="2140" w:type="dxa"/>
            <w:tcBorders>
              <w:top w:val="single" w:sz="4" w:space="0" w:color="auto"/>
              <w:left w:val="single" w:sz="4" w:space="0" w:color="auto"/>
              <w:bottom w:val="single" w:sz="4" w:space="0" w:color="auto"/>
              <w:right w:val="single" w:sz="4" w:space="0" w:color="auto"/>
            </w:tcBorders>
          </w:tcPr>
          <w:p w14:paraId="00FCD59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2140" w:type="dxa"/>
            <w:tcBorders>
              <w:top w:val="single" w:sz="4" w:space="0" w:color="auto"/>
              <w:left w:val="single" w:sz="4" w:space="0" w:color="auto"/>
              <w:bottom w:val="single" w:sz="4" w:space="0" w:color="auto"/>
              <w:right w:val="single" w:sz="4" w:space="0" w:color="auto"/>
            </w:tcBorders>
          </w:tcPr>
          <w:p w14:paraId="7E9B135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r>
    </w:tbl>
    <w:p w14:paraId="03C8D60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sz w:val="16"/>
          <w:szCs w:val="16"/>
        </w:rPr>
      </w:pPr>
      <w:r w:rsidRPr="00401930">
        <w:rPr>
          <w:rFonts w:ascii="Arial Narrow" w:hAnsi="Arial Narrow" w:cs="Arial"/>
          <w:sz w:val="16"/>
          <w:szCs w:val="16"/>
        </w:rPr>
        <w:t>Źródło: Opracowanie własne.</w:t>
      </w:r>
    </w:p>
    <w:p w14:paraId="4AC6E8B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Wydatki na obsługę długu skalkulowano w oparciu o obowiązujące stawki WIBOR jak również warunki wynikające z zawartych umów (w przypadku zobowiązań historycznych). Dodatkowo, w prognozie WPF uwzględniono również koszty obsługi zobowiązania planowanego do zaciągnięcia.</w:t>
      </w:r>
    </w:p>
    <w:p w14:paraId="4BD9793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b/>
          <w:bCs/>
        </w:rPr>
        <w:t>3.2. Wydatki majątkowe</w:t>
      </w:r>
    </w:p>
    <w:p w14:paraId="710CCFB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Wydatki majątkowe obejmują przede wszystkim przedsięwzięcia inwestycyjne, które ujęto w załączniku nr 2 do Wieloletniej Prognozy Finansowej Powiatu Średzki na lata 2022-2025. W kolejnych latach wydatki majątkowe zostały zaplanowane tak, aby pokryły pozostałą po spłacie zobowiązań część tzw. wolnych środków.</w:t>
      </w:r>
    </w:p>
    <w:p w14:paraId="1389359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Oprócz przedsięwzięć przewidzianych w WPF zaplanowano niezbędne wydatki, takie jak: dotacje celowe dla JST wynikające z ustawy o ochronie gruntów rolnych i leśnych, wydatki na pozyskanie gruntów pod inwestycje drogowe itp.</w:t>
      </w:r>
    </w:p>
    <w:p w14:paraId="11D9857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sz w:val="24"/>
          <w:szCs w:val="24"/>
        </w:rPr>
      </w:pPr>
      <w:r w:rsidRPr="00401930">
        <w:rPr>
          <w:rFonts w:ascii="Arial Narrow" w:hAnsi="Arial Narrow" w:cs="Arial"/>
          <w:b/>
          <w:bCs/>
          <w:sz w:val="24"/>
          <w:szCs w:val="24"/>
        </w:rPr>
        <w:t>4. Wynik budżetu</w:t>
      </w:r>
    </w:p>
    <w:p w14:paraId="60E14AF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 xml:space="preserve">Wynik budżetu w prognozowanym okresie jest ściśle powiązany z przyjętymi założeniami do prognozy dochodów i wydatków. Fakt prognozowania w oparciu o dane makroekonomiczne o niewielkiej zmienności </w:t>
      </w:r>
      <w:r w:rsidRPr="00401930">
        <w:rPr>
          <w:rFonts w:ascii="Arial Narrow" w:hAnsi="Arial Narrow" w:cs="Arial"/>
        </w:rPr>
        <w:lastRenderedPageBreak/>
        <w:t>powoduje zrównoważony i stabilny wzrost dochodów oraz wydatków bieżących, któremu można przypisać cechy statystyczne. W całym prognozowanym okresie utrzymana została relacja z art. 242 (brak deficytu bieżącego). Ponadto wynik finansowy budżetu został sprowadzony do 0 w całym badanym okresie.</w:t>
      </w:r>
    </w:p>
    <w:p w14:paraId="3E05DCC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w:sz w:val="18"/>
          <w:szCs w:val="18"/>
        </w:rPr>
      </w:pPr>
      <w:r w:rsidRPr="00401930">
        <w:rPr>
          <w:rFonts w:ascii="Arial Narrow" w:hAnsi="Arial Narrow" w:cs="Arial"/>
          <w:b/>
          <w:bCs/>
          <w:sz w:val="18"/>
          <w:szCs w:val="18"/>
        </w:rPr>
        <w:t>Tabela 5. Wynik budżetu Powiatu Średzki</w:t>
      </w:r>
    </w:p>
    <w:tbl>
      <w:tblPr>
        <w:tblW w:w="0" w:type="auto"/>
        <w:tblInd w:w="10" w:type="dxa"/>
        <w:tblLayout w:type="fixed"/>
        <w:tblCellMar>
          <w:left w:w="10" w:type="dxa"/>
          <w:right w:w="10" w:type="dxa"/>
        </w:tblCellMar>
        <w:tblLook w:val="0000" w:firstRow="0" w:lastRow="0" w:firstColumn="0" w:lastColumn="0" w:noHBand="0" w:noVBand="0"/>
      </w:tblPr>
      <w:tblGrid>
        <w:gridCol w:w="1712"/>
        <w:gridCol w:w="1712"/>
        <w:gridCol w:w="1712"/>
        <w:gridCol w:w="1712"/>
        <w:gridCol w:w="1712"/>
      </w:tblGrid>
      <w:tr w:rsidR="004F003C" w:rsidRPr="00401930" w14:paraId="04F1162E" w14:textId="77777777">
        <w:tc>
          <w:tcPr>
            <w:tcW w:w="1712" w:type="dxa"/>
            <w:tcBorders>
              <w:top w:val="single" w:sz="4" w:space="0" w:color="auto"/>
              <w:left w:val="single" w:sz="4" w:space="0" w:color="auto"/>
              <w:bottom w:val="single" w:sz="4" w:space="0" w:color="auto"/>
              <w:right w:val="single" w:sz="4" w:space="0" w:color="auto"/>
            </w:tcBorders>
          </w:tcPr>
          <w:p w14:paraId="01F4234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p>
        </w:tc>
        <w:tc>
          <w:tcPr>
            <w:tcW w:w="1712" w:type="dxa"/>
            <w:tcBorders>
              <w:top w:val="single" w:sz="4" w:space="0" w:color="auto"/>
              <w:left w:val="single" w:sz="4" w:space="0" w:color="auto"/>
              <w:bottom w:val="single" w:sz="4" w:space="0" w:color="auto"/>
              <w:right w:val="single" w:sz="4" w:space="0" w:color="auto"/>
            </w:tcBorders>
            <w:vAlign w:val="bottom"/>
          </w:tcPr>
          <w:p w14:paraId="0DFA11D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2022</w:t>
            </w:r>
          </w:p>
        </w:tc>
        <w:tc>
          <w:tcPr>
            <w:tcW w:w="1712" w:type="dxa"/>
            <w:tcBorders>
              <w:top w:val="single" w:sz="4" w:space="0" w:color="auto"/>
              <w:left w:val="single" w:sz="4" w:space="0" w:color="auto"/>
              <w:bottom w:val="single" w:sz="4" w:space="0" w:color="auto"/>
              <w:right w:val="single" w:sz="4" w:space="0" w:color="auto"/>
            </w:tcBorders>
            <w:vAlign w:val="bottom"/>
          </w:tcPr>
          <w:p w14:paraId="4D8C388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2023</w:t>
            </w:r>
          </w:p>
        </w:tc>
        <w:tc>
          <w:tcPr>
            <w:tcW w:w="1712" w:type="dxa"/>
            <w:tcBorders>
              <w:top w:val="single" w:sz="4" w:space="0" w:color="auto"/>
              <w:left w:val="single" w:sz="4" w:space="0" w:color="auto"/>
              <w:bottom w:val="single" w:sz="4" w:space="0" w:color="auto"/>
              <w:right w:val="single" w:sz="4" w:space="0" w:color="auto"/>
            </w:tcBorders>
            <w:vAlign w:val="bottom"/>
          </w:tcPr>
          <w:p w14:paraId="1761A3C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2024</w:t>
            </w:r>
          </w:p>
        </w:tc>
        <w:tc>
          <w:tcPr>
            <w:tcW w:w="1712" w:type="dxa"/>
            <w:tcBorders>
              <w:top w:val="single" w:sz="4" w:space="0" w:color="auto"/>
              <w:left w:val="single" w:sz="4" w:space="0" w:color="auto"/>
              <w:bottom w:val="single" w:sz="4" w:space="0" w:color="auto"/>
              <w:right w:val="single" w:sz="4" w:space="0" w:color="auto"/>
            </w:tcBorders>
            <w:vAlign w:val="bottom"/>
          </w:tcPr>
          <w:p w14:paraId="17D5ECF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2025</w:t>
            </w:r>
          </w:p>
        </w:tc>
      </w:tr>
      <w:tr w:rsidR="004F003C" w:rsidRPr="00401930" w14:paraId="50BEE85D" w14:textId="77777777">
        <w:tc>
          <w:tcPr>
            <w:tcW w:w="1712" w:type="dxa"/>
            <w:tcBorders>
              <w:top w:val="single" w:sz="4" w:space="0" w:color="auto"/>
              <w:left w:val="single" w:sz="4" w:space="0" w:color="auto"/>
              <w:bottom w:val="single" w:sz="4" w:space="0" w:color="auto"/>
              <w:right w:val="single" w:sz="4" w:space="0" w:color="auto"/>
            </w:tcBorders>
          </w:tcPr>
          <w:p w14:paraId="2FEC90A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Dochody</w:t>
            </w:r>
          </w:p>
        </w:tc>
        <w:tc>
          <w:tcPr>
            <w:tcW w:w="1712" w:type="dxa"/>
            <w:tcBorders>
              <w:top w:val="single" w:sz="4" w:space="0" w:color="auto"/>
              <w:left w:val="single" w:sz="4" w:space="0" w:color="auto"/>
              <w:bottom w:val="single" w:sz="4" w:space="0" w:color="auto"/>
              <w:right w:val="single" w:sz="4" w:space="0" w:color="auto"/>
            </w:tcBorders>
          </w:tcPr>
          <w:p w14:paraId="2175CAA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58 213 400,00</w:t>
            </w:r>
          </w:p>
        </w:tc>
        <w:tc>
          <w:tcPr>
            <w:tcW w:w="1712" w:type="dxa"/>
            <w:tcBorders>
              <w:top w:val="single" w:sz="4" w:space="0" w:color="auto"/>
              <w:left w:val="single" w:sz="4" w:space="0" w:color="auto"/>
              <w:bottom w:val="single" w:sz="4" w:space="0" w:color="auto"/>
              <w:right w:val="single" w:sz="4" w:space="0" w:color="auto"/>
            </w:tcBorders>
          </w:tcPr>
          <w:p w14:paraId="3EED4CA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55 308 346,00</w:t>
            </w:r>
          </w:p>
        </w:tc>
        <w:tc>
          <w:tcPr>
            <w:tcW w:w="1712" w:type="dxa"/>
            <w:tcBorders>
              <w:top w:val="single" w:sz="4" w:space="0" w:color="auto"/>
              <w:left w:val="single" w:sz="4" w:space="0" w:color="auto"/>
              <w:bottom w:val="single" w:sz="4" w:space="0" w:color="auto"/>
              <w:right w:val="single" w:sz="4" w:space="0" w:color="auto"/>
            </w:tcBorders>
          </w:tcPr>
          <w:p w14:paraId="30A27B8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53 707 637,00</w:t>
            </w:r>
          </w:p>
        </w:tc>
        <w:tc>
          <w:tcPr>
            <w:tcW w:w="1712" w:type="dxa"/>
            <w:tcBorders>
              <w:top w:val="single" w:sz="4" w:space="0" w:color="auto"/>
              <w:left w:val="single" w:sz="4" w:space="0" w:color="auto"/>
              <w:bottom w:val="single" w:sz="4" w:space="0" w:color="auto"/>
              <w:right w:val="single" w:sz="4" w:space="0" w:color="auto"/>
            </w:tcBorders>
          </w:tcPr>
          <w:p w14:paraId="6469FA9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55 569 905,00</w:t>
            </w:r>
          </w:p>
        </w:tc>
      </w:tr>
      <w:tr w:rsidR="004F003C" w:rsidRPr="00401930" w14:paraId="67C316E2" w14:textId="77777777">
        <w:tc>
          <w:tcPr>
            <w:tcW w:w="1712" w:type="dxa"/>
            <w:tcBorders>
              <w:top w:val="single" w:sz="4" w:space="0" w:color="auto"/>
              <w:left w:val="single" w:sz="4" w:space="0" w:color="auto"/>
              <w:bottom w:val="single" w:sz="4" w:space="0" w:color="auto"/>
              <w:right w:val="single" w:sz="4" w:space="0" w:color="auto"/>
            </w:tcBorders>
          </w:tcPr>
          <w:p w14:paraId="46E5278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Wydatki</w:t>
            </w:r>
          </w:p>
        </w:tc>
        <w:tc>
          <w:tcPr>
            <w:tcW w:w="1712" w:type="dxa"/>
            <w:tcBorders>
              <w:top w:val="single" w:sz="4" w:space="0" w:color="auto"/>
              <w:left w:val="single" w:sz="4" w:space="0" w:color="auto"/>
              <w:bottom w:val="single" w:sz="4" w:space="0" w:color="auto"/>
              <w:right w:val="single" w:sz="4" w:space="0" w:color="auto"/>
            </w:tcBorders>
          </w:tcPr>
          <w:p w14:paraId="6029530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69 913 400,00</w:t>
            </w:r>
          </w:p>
        </w:tc>
        <w:tc>
          <w:tcPr>
            <w:tcW w:w="1712" w:type="dxa"/>
            <w:tcBorders>
              <w:top w:val="single" w:sz="4" w:space="0" w:color="auto"/>
              <w:left w:val="single" w:sz="4" w:space="0" w:color="auto"/>
              <w:bottom w:val="single" w:sz="4" w:space="0" w:color="auto"/>
              <w:right w:val="single" w:sz="4" w:space="0" w:color="auto"/>
            </w:tcBorders>
          </w:tcPr>
          <w:p w14:paraId="2C634B9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53 308 346,00</w:t>
            </w:r>
          </w:p>
        </w:tc>
        <w:tc>
          <w:tcPr>
            <w:tcW w:w="1712" w:type="dxa"/>
            <w:tcBorders>
              <w:top w:val="single" w:sz="4" w:space="0" w:color="auto"/>
              <w:left w:val="single" w:sz="4" w:space="0" w:color="auto"/>
              <w:bottom w:val="single" w:sz="4" w:space="0" w:color="auto"/>
              <w:right w:val="single" w:sz="4" w:space="0" w:color="auto"/>
            </w:tcBorders>
          </w:tcPr>
          <w:p w14:paraId="78570EE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51 792 637,00</w:t>
            </w:r>
          </w:p>
        </w:tc>
        <w:tc>
          <w:tcPr>
            <w:tcW w:w="1712" w:type="dxa"/>
            <w:tcBorders>
              <w:top w:val="single" w:sz="4" w:space="0" w:color="auto"/>
              <w:left w:val="single" w:sz="4" w:space="0" w:color="auto"/>
              <w:bottom w:val="single" w:sz="4" w:space="0" w:color="auto"/>
              <w:right w:val="single" w:sz="4" w:space="0" w:color="auto"/>
            </w:tcBorders>
          </w:tcPr>
          <w:p w14:paraId="3EE4BA1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53 569 905,00</w:t>
            </w:r>
          </w:p>
        </w:tc>
      </w:tr>
      <w:tr w:rsidR="004F003C" w:rsidRPr="00401930" w14:paraId="56D9C045" w14:textId="77777777">
        <w:tc>
          <w:tcPr>
            <w:tcW w:w="1712" w:type="dxa"/>
            <w:tcBorders>
              <w:top w:val="single" w:sz="4" w:space="0" w:color="auto"/>
              <w:left w:val="single" w:sz="4" w:space="0" w:color="auto"/>
              <w:bottom w:val="single" w:sz="4" w:space="0" w:color="auto"/>
              <w:right w:val="single" w:sz="4" w:space="0" w:color="auto"/>
            </w:tcBorders>
          </w:tcPr>
          <w:p w14:paraId="4251CDD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Wynik budżetu</w:t>
            </w:r>
          </w:p>
        </w:tc>
        <w:tc>
          <w:tcPr>
            <w:tcW w:w="1712" w:type="dxa"/>
            <w:tcBorders>
              <w:top w:val="single" w:sz="4" w:space="0" w:color="auto"/>
              <w:left w:val="single" w:sz="4" w:space="0" w:color="auto"/>
              <w:bottom w:val="single" w:sz="4" w:space="0" w:color="auto"/>
              <w:right w:val="single" w:sz="4" w:space="0" w:color="auto"/>
            </w:tcBorders>
          </w:tcPr>
          <w:p w14:paraId="5752A6F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-11 700 000,00</w:t>
            </w:r>
          </w:p>
        </w:tc>
        <w:tc>
          <w:tcPr>
            <w:tcW w:w="1712" w:type="dxa"/>
            <w:tcBorders>
              <w:top w:val="single" w:sz="4" w:space="0" w:color="auto"/>
              <w:left w:val="single" w:sz="4" w:space="0" w:color="auto"/>
              <w:bottom w:val="single" w:sz="4" w:space="0" w:color="auto"/>
              <w:right w:val="single" w:sz="4" w:space="0" w:color="auto"/>
            </w:tcBorders>
          </w:tcPr>
          <w:p w14:paraId="18DC473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2 000 000,00</w:t>
            </w:r>
          </w:p>
        </w:tc>
        <w:tc>
          <w:tcPr>
            <w:tcW w:w="1712" w:type="dxa"/>
            <w:tcBorders>
              <w:top w:val="single" w:sz="4" w:space="0" w:color="auto"/>
              <w:left w:val="single" w:sz="4" w:space="0" w:color="auto"/>
              <w:bottom w:val="single" w:sz="4" w:space="0" w:color="auto"/>
              <w:right w:val="single" w:sz="4" w:space="0" w:color="auto"/>
            </w:tcBorders>
          </w:tcPr>
          <w:p w14:paraId="55A501F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1 915 000,00</w:t>
            </w:r>
          </w:p>
        </w:tc>
        <w:tc>
          <w:tcPr>
            <w:tcW w:w="1712" w:type="dxa"/>
            <w:tcBorders>
              <w:top w:val="single" w:sz="4" w:space="0" w:color="auto"/>
              <w:left w:val="single" w:sz="4" w:space="0" w:color="auto"/>
              <w:bottom w:val="single" w:sz="4" w:space="0" w:color="auto"/>
              <w:right w:val="single" w:sz="4" w:space="0" w:color="auto"/>
            </w:tcBorders>
          </w:tcPr>
          <w:p w14:paraId="364A2E2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2 000 000,00</w:t>
            </w:r>
          </w:p>
        </w:tc>
      </w:tr>
      <w:tr w:rsidR="004F003C" w:rsidRPr="00401930" w14:paraId="4D625698" w14:textId="77777777">
        <w:tc>
          <w:tcPr>
            <w:tcW w:w="1712" w:type="dxa"/>
            <w:tcBorders>
              <w:top w:val="single" w:sz="4" w:space="0" w:color="auto"/>
              <w:left w:val="single" w:sz="4" w:space="0" w:color="auto"/>
              <w:bottom w:val="single" w:sz="4" w:space="0" w:color="auto"/>
              <w:right w:val="single" w:sz="4" w:space="0" w:color="auto"/>
            </w:tcBorders>
          </w:tcPr>
          <w:p w14:paraId="7AB20E0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p>
        </w:tc>
        <w:tc>
          <w:tcPr>
            <w:tcW w:w="1712" w:type="dxa"/>
            <w:tcBorders>
              <w:top w:val="single" w:sz="4" w:space="0" w:color="auto"/>
              <w:left w:val="single" w:sz="4" w:space="0" w:color="auto"/>
              <w:bottom w:val="single" w:sz="4" w:space="0" w:color="auto"/>
              <w:right w:val="single" w:sz="4" w:space="0" w:color="auto"/>
            </w:tcBorders>
            <w:vAlign w:val="bottom"/>
          </w:tcPr>
          <w:p w14:paraId="1BD1F3A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2026</w:t>
            </w:r>
          </w:p>
        </w:tc>
        <w:tc>
          <w:tcPr>
            <w:tcW w:w="1712" w:type="dxa"/>
            <w:tcBorders>
              <w:top w:val="single" w:sz="4" w:space="0" w:color="auto"/>
              <w:left w:val="single" w:sz="4" w:space="0" w:color="auto"/>
              <w:bottom w:val="single" w:sz="4" w:space="0" w:color="auto"/>
              <w:right w:val="single" w:sz="4" w:space="0" w:color="auto"/>
            </w:tcBorders>
            <w:vAlign w:val="bottom"/>
          </w:tcPr>
          <w:p w14:paraId="607CE29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2027</w:t>
            </w:r>
          </w:p>
        </w:tc>
        <w:tc>
          <w:tcPr>
            <w:tcW w:w="1712" w:type="dxa"/>
            <w:tcBorders>
              <w:top w:val="single" w:sz="4" w:space="0" w:color="auto"/>
              <w:left w:val="single" w:sz="4" w:space="0" w:color="auto"/>
              <w:bottom w:val="single" w:sz="4" w:space="0" w:color="auto"/>
              <w:right w:val="single" w:sz="4" w:space="0" w:color="auto"/>
            </w:tcBorders>
            <w:vAlign w:val="bottom"/>
          </w:tcPr>
          <w:p w14:paraId="320CEEE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2028</w:t>
            </w:r>
          </w:p>
        </w:tc>
        <w:tc>
          <w:tcPr>
            <w:tcW w:w="1712" w:type="dxa"/>
            <w:tcBorders>
              <w:top w:val="single" w:sz="4" w:space="0" w:color="auto"/>
              <w:left w:val="single" w:sz="4" w:space="0" w:color="auto"/>
              <w:bottom w:val="single" w:sz="4" w:space="0" w:color="auto"/>
              <w:right w:val="single" w:sz="4" w:space="0" w:color="auto"/>
            </w:tcBorders>
            <w:vAlign w:val="bottom"/>
          </w:tcPr>
          <w:p w14:paraId="3535008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2029</w:t>
            </w:r>
          </w:p>
        </w:tc>
      </w:tr>
      <w:tr w:rsidR="004F003C" w:rsidRPr="00401930" w14:paraId="02DEF9C7" w14:textId="77777777">
        <w:tc>
          <w:tcPr>
            <w:tcW w:w="1712" w:type="dxa"/>
            <w:tcBorders>
              <w:top w:val="single" w:sz="4" w:space="0" w:color="auto"/>
              <w:left w:val="single" w:sz="4" w:space="0" w:color="auto"/>
              <w:bottom w:val="single" w:sz="4" w:space="0" w:color="auto"/>
              <w:right w:val="single" w:sz="4" w:space="0" w:color="auto"/>
            </w:tcBorders>
          </w:tcPr>
          <w:p w14:paraId="50A0E25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Dochody</w:t>
            </w:r>
          </w:p>
        </w:tc>
        <w:tc>
          <w:tcPr>
            <w:tcW w:w="1712" w:type="dxa"/>
            <w:tcBorders>
              <w:top w:val="single" w:sz="4" w:space="0" w:color="auto"/>
              <w:left w:val="single" w:sz="4" w:space="0" w:color="auto"/>
              <w:bottom w:val="single" w:sz="4" w:space="0" w:color="auto"/>
              <w:right w:val="single" w:sz="4" w:space="0" w:color="auto"/>
            </w:tcBorders>
          </w:tcPr>
          <w:p w14:paraId="47188E6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57 497 351,00</w:t>
            </w:r>
          </w:p>
        </w:tc>
        <w:tc>
          <w:tcPr>
            <w:tcW w:w="1712" w:type="dxa"/>
            <w:tcBorders>
              <w:top w:val="single" w:sz="4" w:space="0" w:color="auto"/>
              <w:left w:val="single" w:sz="4" w:space="0" w:color="auto"/>
              <w:bottom w:val="single" w:sz="4" w:space="0" w:color="auto"/>
              <w:right w:val="single" w:sz="4" w:space="0" w:color="auto"/>
            </w:tcBorders>
          </w:tcPr>
          <w:p w14:paraId="141CF5D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59 435 260,00</w:t>
            </w:r>
          </w:p>
        </w:tc>
        <w:tc>
          <w:tcPr>
            <w:tcW w:w="1712" w:type="dxa"/>
            <w:tcBorders>
              <w:top w:val="single" w:sz="4" w:space="0" w:color="auto"/>
              <w:left w:val="single" w:sz="4" w:space="0" w:color="auto"/>
              <w:bottom w:val="single" w:sz="4" w:space="0" w:color="auto"/>
              <w:right w:val="single" w:sz="4" w:space="0" w:color="auto"/>
            </w:tcBorders>
          </w:tcPr>
          <w:p w14:paraId="361017D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61 380 124,00</w:t>
            </w:r>
          </w:p>
        </w:tc>
        <w:tc>
          <w:tcPr>
            <w:tcW w:w="1712" w:type="dxa"/>
            <w:tcBorders>
              <w:top w:val="single" w:sz="4" w:space="0" w:color="auto"/>
              <w:left w:val="single" w:sz="4" w:space="0" w:color="auto"/>
              <w:bottom w:val="single" w:sz="4" w:space="0" w:color="auto"/>
              <w:right w:val="single" w:sz="4" w:space="0" w:color="auto"/>
            </w:tcBorders>
          </w:tcPr>
          <w:p w14:paraId="226E772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63 267 408,00</w:t>
            </w:r>
          </w:p>
        </w:tc>
      </w:tr>
      <w:tr w:rsidR="004F003C" w:rsidRPr="00401930" w14:paraId="62EF1974" w14:textId="77777777">
        <w:tc>
          <w:tcPr>
            <w:tcW w:w="1712" w:type="dxa"/>
            <w:tcBorders>
              <w:top w:val="single" w:sz="4" w:space="0" w:color="auto"/>
              <w:left w:val="single" w:sz="4" w:space="0" w:color="auto"/>
              <w:bottom w:val="single" w:sz="4" w:space="0" w:color="auto"/>
              <w:right w:val="single" w:sz="4" w:space="0" w:color="auto"/>
            </w:tcBorders>
          </w:tcPr>
          <w:p w14:paraId="3F21078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Wydatki</w:t>
            </w:r>
          </w:p>
        </w:tc>
        <w:tc>
          <w:tcPr>
            <w:tcW w:w="1712" w:type="dxa"/>
            <w:tcBorders>
              <w:top w:val="single" w:sz="4" w:space="0" w:color="auto"/>
              <w:left w:val="single" w:sz="4" w:space="0" w:color="auto"/>
              <w:bottom w:val="single" w:sz="4" w:space="0" w:color="auto"/>
              <w:right w:val="single" w:sz="4" w:space="0" w:color="auto"/>
            </w:tcBorders>
          </w:tcPr>
          <w:p w14:paraId="7129D34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55 497 351,00</w:t>
            </w:r>
          </w:p>
        </w:tc>
        <w:tc>
          <w:tcPr>
            <w:tcW w:w="1712" w:type="dxa"/>
            <w:tcBorders>
              <w:top w:val="single" w:sz="4" w:space="0" w:color="auto"/>
              <w:left w:val="single" w:sz="4" w:space="0" w:color="auto"/>
              <w:bottom w:val="single" w:sz="4" w:space="0" w:color="auto"/>
              <w:right w:val="single" w:sz="4" w:space="0" w:color="auto"/>
            </w:tcBorders>
          </w:tcPr>
          <w:p w14:paraId="6C9A4AF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57 435 260,00</w:t>
            </w:r>
          </w:p>
        </w:tc>
        <w:tc>
          <w:tcPr>
            <w:tcW w:w="1712" w:type="dxa"/>
            <w:tcBorders>
              <w:top w:val="single" w:sz="4" w:space="0" w:color="auto"/>
              <w:left w:val="single" w:sz="4" w:space="0" w:color="auto"/>
              <w:bottom w:val="single" w:sz="4" w:space="0" w:color="auto"/>
              <w:right w:val="single" w:sz="4" w:space="0" w:color="auto"/>
            </w:tcBorders>
          </w:tcPr>
          <w:p w14:paraId="763AC45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59 880 124,00</w:t>
            </w:r>
          </w:p>
        </w:tc>
        <w:tc>
          <w:tcPr>
            <w:tcW w:w="1712" w:type="dxa"/>
            <w:tcBorders>
              <w:top w:val="single" w:sz="4" w:space="0" w:color="auto"/>
              <w:left w:val="single" w:sz="4" w:space="0" w:color="auto"/>
              <w:bottom w:val="single" w:sz="4" w:space="0" w:color="auto"/>
              <w:right w:val="single" w:sz="4" w:space="0" w:color="auto"/>
            </w:tcBorders>
          </w:tcPr>
          <w:p w14:paraId="478C0D8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61 767 408,00</w:t>
            </w:r>
          </w:p>
        </w:tc>
      </w:tr>
      <w:tr w:rsidR="004F003C" w:rsidRPr="00401930" w14:paraId="7FC04F61" w14:textId="77777777">
        <w:tc>
          <w:tcPr>
            <w:tcW w:w="1712" w:type="dxa"/>
            <w:tcBorders>
              <w:top w:val="single" w:sz="4" w:space="0" w:color="auto"/>
              <w:left w:val="single" w:sz="4" w:space="0" w:color="auto"/>
              <w:bottom w:val="single" w:sz="4" w:space="0" w:color="auto"/>
              <w:right w:val="single" w:sz="4" w:space="0" w:color="auto"/>
            </w:tcBorders>
          </w:tcPr>
          <w:p w14:paraId="09B0603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Wynik budżetu</w:t>
            </w:r>
          </w:p>
        </w:tc>
        <w:tc>
          <w:tcPr>
            <w:tcW w:w="1712" w:type="dxa"/>
            <w:tcBorders>
              <w:top w:val="single" w:sz="4" w:space="0" w:color="auto"/>
              <w:left w:val="single" w:sz="4" w:space="0" w:color="auto"/>
              <w:bottom w:val="single" w:sz="4" w:space="0" w:color="auto"/>
              <w:right w:val="single" w:sz="4" w:space="0" w:color="auto"/>
            </w:tcBorders>
          </w:tcPr>
          <w:p w14:paraId="4E67049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2 000 000,00</w:t>
            </w:r>
          </w:p>
        </w:tc>
        <w:tc>
          <w:tcPr>
            <w:tcW w:w="1712" w:type="dxa"/>
            <w:tcBorders>
              <w:top w:val="single" w:sz="4" w:space="0" w:color="auto"/>
              <w:left w:val="single" w:sz="4" w:space="0" w:color="auto"/>
              <w:bottom w:val="single" w:sz="4" w:space="0" w:color="auto"/>
              <w:right w:val="single" w:sz="4" w:space="0" w:color="auto"/>
            </w:tcBorders>
          </w:tcPr>
          <w:p w14:paraId="612868C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2 000 000,00</w:t>
            </w:r>
          </w:p>
        </w:tc>
        <w:tc>
          <w:tcPr>
            <w:tcW w:w="1712" w:type="dxa"/>
            <w:tcBorders>
              <w:top w:val="single" w:sz="4" w:space="0" w:color="auto"/>
              <w:left w:val="single" w:sz="4" w:space="0" w:color="auto"/>
              <w:bottom w:val="single" w:sz="4" w:space="0" w:color="auto"/>
              <w:right w:val="single" w:sz="4" w:space="0" w:color="auto"/>
            </w:tcBorders>
          </w:tcPr>
          <w:p w14:paraId="664781A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1 500 000,00</w:t>
            </w:r>
          </w:p>
        </w:tc>
        <w:tc>
          <w:tcPr>
            <w:tcW w:w="1712" w:type="dxa"/>
            <w:tcBorders>
              <w:top w:val="single" w:sz="4" w:space="0" w:color="auto"/>
              <w:left w:val="single" w:sz="4" w:space="0" w:color="auto"/>
              <w:bottom w:val="single" w:sz="4" w:space="0" w:color="auto"/>
              <w:right w:val="single" w:sz="4" w:space="0" w:color="auto"/>
            </w:tcBorders>
          </w:tcPr>
          <w:p w14:paraId="6046308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1 500 000,00</w:t>
            </w:r>
          </w:p>
        </w:tc>
      </w:tr>
      <w:tr w:rsidR="004F003C" w:rsidRPr="00401930" w14:paraId="4A925708" w14:textId="77777777">
        <w:tc>
          <w:tcPr>
            <w:tcW w:w="1712" w:type="dxa"/>
            <w:tcBorders>
              <w:top w:val="single" w:sz="4" w:space="0" w:color="auto"/>
              <w:left w:val="single" w:sz="4" w:space="0" w:color="auto"/>
              <w:bottom w:val="single" w:sz="4" w:space="0" w:color="auto"/>
              <w:right w:val="single" w:sz="4" w:space="0" w:color="auto"/>
            </w:tcBorders>
          </w:tcPr>
          <w:p w14:paraId="0FB2401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p>
        </w:tc>
        <w:tc>
          <w:tcPr>
            <w:tcW w:w="1712" w:type="dxa"/>
            <w:tcBorders>
              <w:top w:val="single" w:sz="4" w:space="0" w:color="auto"/>
              <w:left w:val="single" w:sz="4" w:space="0" w:color="auto"/>
              <w:bottom w:val="single" w:sz="4" w:space="0" w:color="auto"/>
              <w:right w:val="single" w:sz="4" w:space="0" w:color="auto"/>
            </w:tcBorders>
            <w:vAlign w:val="bottom"/>
          </w:tcPr>
          <w:p w14:paraId="4452666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2030</w:t>
            </w:r>
          </w:p>
        </w:tc>
        <w:tc>
          <w:tcPr>
            <w:tcW w:w="1712" w:type="dxa"/>
            <w:tcBorders>
              <w:top w:val="single" w:sz="4" w:space="0" w:color="auto"/>
              <w:left w:val="single" w:sz="4" w:space="0" w:color="auto"/>
              <w:bottom w:val="single" w:sz="4" w:space="0" w:color="auto"/>
              <w:right w:val="single" w:sz="4" w:space="0" w:color="auto"/>
            </w:tcBorders>
            <w:vAlign w:val="bottom"/>
          </w:tcPr>
          <w:p w14:paraId="282EB33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2031</w:t>
            </w:r>
          </w:p>
        </w:tc>
        <w:tc>
          <w:tcPr>
            <w:tcW w:w="3424" w:type="dxa"/>
            <w:gridSpan w:val="2"/>
            <w:vMerge w:val="restart"/>
            <w:tcBorders>
              <w:top w:val="single" w:sz="4" w:space="0" w:color="auto"/>
              <w:left w:val="single" w:sz="4" w:space="0" w:color="auto"/>
              <w:bottom w:val="nil"/>
              <w:right w:val="single" w:sz="4" w:space="0" w:color="auto"/>
            </w:tcBorders>
          </w:tcPr>
          <w:p w14:paraId="229F0BB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p>
        </w:tc>
      </w:tr>
      <w:tr w:rsidR="004F003C" w:rsidRPr="00401930" w14:paraId="7C42E6ED" w14:textId="77777777">
        <w:tc>
          <w:tcPr>
            <w:tcW w:w="1712" w:type="dxa"/>
            <w:tcBorders>
              <w:top w:val="single" w:sz="4" w:space="0" w:color="auto"/>
              <w:left w:val="single" w:sz="4" w:space="0" w:color="auto"/>
              <w:bottom w:val="single" w:sz="4" w:space="0" w:color="auto"/>
              <w:right w:val="single" w:sz="4" w:space="0" w:color="auto"/>
            </w:tcBorders>
          </w:tcPr>
          <w:p w14:paraId="6B21B40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Dochody</w:t>
            </w:r>
          </w:p>
        </w:tc>
        <w:tc>
          <w:tcPr>
            <w:tcW w:w="1712" w:type="dxa"/>
            <w:tcBorders>
              <w:top w:val="single" w:sz="4" w:space="0" w:color="auto"/>
              <w:left w:val="single" w:sz="4" w:space="0" w:color="auto"/>
              <w:bottom w:val="single" w:sz="4" w:space="0" w:color="auto"/>
              <w:right w:val="single" w:sz="4" w:space="0" w:color="auto"/>
            </w:tcBorders>
          </w:tcPr>
          <w:p w14:paraId="070486D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65 087 663,00</w:t>
            </w:r>
          </w:p>
        </w:tc>
        <w:tc>
          <w:tcPr>
            <w:tcW w:w="1712" w:type="dxa"/>
            <w:tcBorders>
              <w:top w:val="single" w:sz="4" w:space="0" w:color="auto"/>
              <w:left w:val="single" w:sz="4" w:space="0" w:color="auto"/>
              <w:bottom w:val="single" w:sz="4" w:space="0" w:color="auto"/>
              <w:right w:val="single" w:sz="4" w:space="0" w:color="auto"/>
            </w:tcBorders>
          </w:tcPr>
          <w:p w14:paraId="53B61B0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66 896 118,00</w:t>
            </w:r>
          </w:p>
        </w:tc>
        <w:tc>
          <w:tcPr>
            <w:tcW w:w="3424" w:type="dxa"/>
            <w:gridSpan w:val="2"/>
            <w:vMerge/>
            <w:tcBorders>
              <w:top w:val="nil"/>
              <w:left w:val="single" w:sz="4" w:space="0" w:color="auto"/>
              <w:bottom w:val="single" w:sz="4" w:space="0" w:color="auto"/>
              <w:right w:val="single" w:sz="4" w:space="0" w:color="auto"/>
            </w:tcBorders>
          </w:tcPr>
          <w:p w14:paraId="0C38DB54" w14:textId="77777777" w:rsidR="004F003C" w:rsidRPr="00401930" w:rsidRDefault="004F003C" w:rsidP="004F003C">
            <w:pPr>
              <w:widowControl w:val="0"/>
              <w:autoSpaceDE w:val="0"/>
              <w:autoSpaceDN w:val="0"/>
              <w:adjustRightInd w:val="0"/>
              <w:spacing w:after="0" w:line="240" w:lineRule="auto"/>
              <w:rPr>
                <w:rFonts w:ascii="Arial Narrow" w:hAnsi="Arial Narrow" w:cs="Arial"/>
                <w:sz w:val="20"/>
                <w:szCs w:val="20"/>
              </w:rPr>
            </w:pPr>
          </w:p>
        </w:tc>
      </w:tr>
      <w:tr w:rsidR="004F003C" w:rsidRPr="00401930" w14:paraId="1389FCC1" w14:textId="77777777">
        <w:tc>
          <w:tcPr>
            <w:tcW w:w="1712" w:type="dxa"/>
            <w:tcBorders>
              <w:top w:val="single" w:sz="4" w:space="0" w:color="auto"/>
              <w:left w:val="single" w:sz="4" w:space="0" w:color="auto"/>
              <w:bottom w:val="single" w:sz="4" w:space="0" w:color="auto"/>
              <w:right w:val="single" w:sz="4" w:space="0" w:color="auto"/>
            </w:tcBorders>
          </w:tcPr>
          <w:p w14:paraId="2DA201E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Wydatki</w:t>
            </w:r>
          </w:p>
        </w:tc>
        <w:tc>
          <w:tcPr>
            <w:tcW w:w="1712" w:type="dxa"/>
            <w:tcBorders>
              <w:top w:val="single" w:sz="4" w:space="0" w:color="auto"/>
              <w:left w:val="single" w:sz="4" w:space="0" w:color="auto"/>
              <w:bottom w:val="single" w:sz="4" w:space="0" w:color="auto"/>
              <w:right w:val="single" w:sz="4" w:space="0" w:color="auto"/>
            </w:tcBorders>
          </w:tcPr>
          <w:p w14:paraId="3B2F61F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63 587 663,00</w:t>
            </w:r>
          </w:p>
        </w:tc>
        <w:tc>
          <w:tcPr>
            <w:tcW w:w="1712" w:type="dxa"/>
            <w:tcBorders>
              <w:top w:val="single" w:sz="4" w:space="0" w:color="auto"/>
              <w:left w:val="single" w:sz="4" w:space="0" w:color="auto"/>
              <w:bottom w:val="single" w:sz="4" w:space="0" w:color="auto"/>
              <w:right w:val="single" w:sz="4" w:space="0" w:color="auto"/>
            </w:tcBorders>
          </w:tcPr>
          <w:p w14:paraId="23CE2E4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65 396 118,00</w:t>
            </w:r>
          </w:p>
        </w:tc>
        <w:tc>
          <w:tcPr>
            <w:tcW w:w="3424" w:type="dxa"/>
            <w:gridSpan w:val="2"/>
            <w:vMerge/>
            <w:tcBorders>
              <w:top w:val="nil"/>
              <w:left w:val="single" w:sz="4" w:space="0" w:color="auto"/>
              <w:bottom w:val="single" w:sz="4" w:space="0" w:color="auto"/>
              <w:right w:val="single" w:sz="4" w:space="0" w:color="auto"/>
            </w:tcBorders>
          </w:tcPr>
          <w:p w14:paraId="37D222B3" w14:textId="77777777" w:rsidR="004F003C" w:rsidRPr="00401930" w:rsidRDefault="004F003C" w:rsidP="004F003C">
            <w:pPr>
              <w:widowControl w:val="0"/>
              <w:autoSpaceDE w:val="0"/>
              <w:autoSpaceDN w:val="0"/>
              <w:adjustRightInd w:val="0"/>
              <w:spacing w:after="0" w:line="240" w:lineRule="auto"/>
              <w:rPr>
                <w:rFonts w:ascii="Arial Narrow" w:hAnsi="Arial Narrow" w:cs="Arial"/>
                <w:sz w:val="20"/>
                <w:szCs w:val="20"/>
              </w:rPr>
            </w:pPr>
          </w:p>
        </w:tc>
      </w:tr>
      <w:tr w:rsidR="004F003C" w:rsidRPr="00401930" w14:paraId="2C261029" w14:textId="77777777">
        <w:tc>
          <w:tcPr>
            <w:tcW w:w="1712" w:type="dxa"/>
            <w:tcBorders>
              <w:top w:val="single" w:sz="4" w:space="0" w:color="auto"/>
              <w:left w:val="single" w:sz="4" w:space="0" w:color="auto"/>
              <w:bottom w:val="single" w:sz="4" w:space="0" w:color="auto"/>
              <w:right w:val="single" w:sz="4" w:space="0" w:color="auto"/>
            </w:tcBorders>
          </w:tcPr>
          <w:p w14:paraId="2FB235C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Wynik budżetu</w:t>
            </w:r>
          </w:p>
        </w:tc>
        <w:tc>
          <w:tcPr>
            <w:tcW w:w="1712" w:type="dxa"/>
            <w:tcBorders>
              <w:top w:val="single" w:sz="4" w:space="0" w:color="auto"/>
              <w:left w:val="single" w:sz="4" w:space="0" w:color="auto"/>
              <w:bottom w:val="single" w:sz="4" w:space="0" w:color="auto"/>
              <w:right w:val="single" w:sz="4" w:space="0" w:color="auto"/>
            </w:tcBorders>
          </w:tcPr>
          <w:p w14:paraId="62C5FFF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1 500 000,00</w:t>
            </w:r>
          </w:p>
        </w:tc>
        <w:tc>
          <w:tcPr>
            <w:tcW w:w="1712" w:type="dxa"/>
            <w:tcBorders>
              <w:top w:val="single" w:sz="4" w:space="0" w:color="auto"/>
              <w:left w:val="single" w:sz="4" w:space="0" w:color="auto"/>
              <w:bottom w:val="single" w:sz="4" w:space="0" w:color="auto"/>
              <w:right w:val="single" w:sz="4" w:space="0" w:color="auto"/>
            </w:tcBorders>
          </w:tcPr>
          <w:p w14:paraId="60F8829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1 500 000,00</w:t>
            </w:r>
          </w:p>
        </w:tc>
        <w:tc>
          <w:tcPr>
            <w:tcW w:w="3424" w:type="dxa"/>
            <w:gridSpan w:val="2"/>
            <w:vMerge/>
            <w:tcBorders>
              <w:top w:val="nil"/>
              <w:left w:val="single" w:sz="4" w:space="0" w:color="auto"/>
              <w:bottom w:val="nil"/>
              <w:right w:val="single" w:sz="4" w:space="0" w:color="auto"/>
            </w:tcBorders>
            <w:vAlign w:val="center"/>
          </w:tcPr>
          <w:p w14:paraId="38B5A920" w14:textId="77777777" w:rsidR="004F003C" w:rsidRPr="00401930" w:rsidRDefault="004F003C" w:rsidP="004F003C">
            <w:pPr>
              <w:widowControl w:val="0"/>
              <w:autoSpaceDE w:val="0"/>
              <w:autoSpaceDN w:val="0"/>
              <w:adjustRightInd w:val="0"/>
              <w:spacing w:after="0" w:line="240" w:lineRule="auto"/>
              <w:rPr>
                <w:rFonts w:ascii="Arial Narrow" w:hAnsi="Arial Narrow" w:cs="Arial"/>
                <w:sz w:val="20"/>
                <w:szCs w:val="20"/>
              </w:rPr>
            </w:pPr>
          </w:p>
        </w:tc>
      </w:tr>
    </w:tbl>
    <w:p w14:paraId="4B46BF1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sz w:val="16"/>
          <w:szCs w:val="16"/>
        </w:rPr>
      </w:pPr>
      <w:r w:rsidRPr="00401930">
        <w:rPr>
          <w:rFonts w:ascii="Arial Narrow" w:hAnsi="Arial Narrow" w:cs="Arial"/>
          <w:sz w:val="16"/>
          <w:szCs w:val="16"/>
        </w:rPr>
        <w:t>Źródło: Opracowanie własne.</w:t>
      </w:r>
    </w:p>
    <w:p w14:paraId="741D0EF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sz w:val="24"/>
          <w:szCs w:val="24"/>
        </w:rPr>
      </w:pPr>
      <w:r w:rsidRPr="00401930">
        <w:rPr>
          <w:rFonts w:ascii="Arial Narrow" w:hAnsi="Arial Narrow" w:cs="Arial"/>
          <w:b/>
          <w:bCs/>
          <w:sz w:val="24"/>
          <w:szCs w:val="24"/>
        </w:rPr>
        <w:t>5. Przychody</w:t>
      </w:r>
    </w:p>
    <w:p w14:paraId="19D5375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W okresie objętym prognozą planuje się pozyskać przychody w roku 2022 na pokrycie planowanego deficytu budżetowego.</w:t>
      </w:r>
    </w:p>
    <w:p w14:paraId="23B8AAE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W okresie objętym prognozą planuje się zaciągnąć nowe zobowiązanie.</w:t>
      </w:r>
    </w:p>
    <w:p w14:paraId="7E80E60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sz w:val="24"/>
          <w:szCs w:val="24"/>
        </w:rPr>
      </w:pPr>
      <w:r w:rsidRPr="00401930">
        <w:rPr>
          <w:rFonts w:ascii="Arial Narrow" w:hAnsi="Arial Narrow" w:cs="Arial"/>
          <w:b/>
          <w:bCs/>
          <w:sz w:val="24"/>
          <w:szCs w:val="24"/>
        </w:rPr>
        <w:t>6. Rozchody</w:t>
      </w:r>
    </w:p>
    <w:p w14:paraId="3206C99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Na dzień 31.12.2021 kwota zadłużenia, wpływająca na kształtowanie się wskaźnika faktycznej obsługi zadłużenia, wynikająca z zaciągniętych kredytów, pożyczek i wyemitowanych obligacji wynosi 11 915 000,00 zł, a jego spłata planowana jest do roku 2029. oprócz tego w projekcie spłat zaplanowano kwotę 4 000 000 zł , która zostanie wyemitowana w roku 2022 i spłacona do roku 2031.</w:t>
      </w:r>
    </w:p>
    <w:p w14:paraId="4971186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w:sz w:val="18"/>
          <w:szCs w:val="18"/>
        </w:rPr>
      </w:pPr>
      <w:r w:rsidRPr="00401930">
        <w:rPr>
          <w:rFonts w:ascii="Arial Narrow" w:hAnsi="Arial Narrow" w:cs="Arial"/>
          <w:b/>
          <w:bCs/>
          <w:sz w:val="18"/>
          <w:szCs w:val="18"/>
        </w:rPr>
        <w:t>Tabela 6. Spłata zaciągniętych i planowanych zobowiązań Powiatu Średzki</w:t>
      </w:r>
    </w:p>
    <w:tbl>
      <w:tblPr>
        <w:tblW w:w="0" w:type="auto"/>
        <w:tblInd w:w="10" w:type="dxa"/>
        <w:tblLayout w:type="fixed"/>
        <w:tblCellMar>
          <w:left w:w="10" w:type="dxa"/>
          <w:right w:w="10" w:type="dxa"/>
        </w:tblCellMar>
        <w:tblLook w:val="0000" w:firstRow="0" w:lastRow="0" w:firstColumn="0" w:lastColumn="0" w:noHBand="0" w:noVBand="0"/>
      </w:tblPr>
      <w:tblGrid>
        <w:gridCol w:w="1712"/>
        <w:gridCol w:w="1712"/>
        <w:gridCol w:w="1712"/>
        <w:gridCol w:w="1712"/>
        <w:gridCol w:w="1712"/>
      </w:tblGrid>
      <w:tr w:rsidR="004F003C" w:rsidRPr="00401930" w14:paraId="463BF26A" w14:textId="77777777">
        <w:tc>
          <w:tcPr>
            <w:tcW w:w="1712" w:type="dxa"/>
            <w:tcBorders>
              <w:top w:val="single" w:sz="4" w:space="0" w:color="auto"/>
              <w:left w:val="single" w:sz="4" w:space="0" w:color="auto"/>
              <w:bottom w:val="single" w:sz="4" w:space="0" w:color="auto"/>
              <w:right w:val="single" w:sz="4" w:space="0" w:color="auto"/>
            </w:tcBorders>
          </w:tcPr>
          <w:p w14:paraId="12C1D9C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Wyszczególnienie</w:t>
            </w:r>
          </w:p>
        </w:tc>
        <w:tc>
          <w:tcPr>
            <w:tcW w:w="1712" w:type="dxa"/>
            <w:tcBorders>
              <w:top w:val="single" w:sz="4" w:space="0" w:color="auto"/>
              <w:left w:val="single" w:sz="4" w:space="0" w:color="auto"/>
              <w:bottom w:val="single" w:sz="4" w:space="0" w:color="auto"/>
              <w:right w:val="single" w:sz="4" w:space="0" w:color="auto"/>
            </w:tcBorders>
            <w:vAlign w:val="bottom"/>
          </w:tcPr>
          <w:p w14:paraId="31CC36C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2022</w:t>
            </w:r>
          </w:p>
        </w:tc>
        <w:tc>
          <w:tcPr>
            <w:tcW w:w="1712" w:type="dxa"/>
            <w:tcBorders>
              <w:top w:val="single" w:sz="4" w:space="0" w:color="auto"/>
              <w:left w:val="single" w:sz="4" w:space="0" w:color="auto"/>
              <w:bottom w:val="single" w:sz="4" w:space="0" w:color="auto"/>
              <w:right w:val="single" w:sz="4" w:space="0" w:color="auto"/>
            </w:tcBorders>
            <w:vAlign w:val="bottom"/>
          </w:tcPr>
          <w:p w14:paraId="025F475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2023</w:t>
            </w:r>
          </w:p>
        </w:tc>
        <w:tc>
          <w:tcPr>
            <w:tcW w:w="1712" w:type="dxa"/>
            <w:tcBorders>
              <w:top w:val="single" w:sz="4" w:space="0" w:color="auto"/>
              <w:left w:val="single" w:sz="4" w:space="0" w:color="auto"/>
              <w:bottom w:val="single" w:sz="4" w:space="0" w:color="auto"/>
              <w:right w:val="single" w:sz="4" w:space="0" w:color="auto"/>
            </w:tcBorders>
            <w:vAlign w:val="bottom"/>
          </w:tcPr>
          <w:p w14:paraId="1C3FB70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2024</w:t>
            </w:r>
          </w:p>
        </w:tc>
        <w:tc>
          <w:tcPr>
            <w:tcW w:w="1712" w:type="dxa"/>
            <w:tcBorders>
              <w:top w:val="single" w:sz="4" w:space="0" w:color="auto"/>
              <w:left w:val="single" w:sz="4" w:space="0" w:color="auto"/>
              <w:bottom w:val="single" w:sz="4" w:space="0" w:color="auto"/>
              <w:right w:val="single" w:sz="4" w:space="0" w:color="auto"/>
            </w:tcBorders>
            <w:vAlign w:val="bottom"/>
          </w:tcPr>
          <w:p w14:paraId="535D881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2025</w:t>
            </w:r>
          </w:p>
        </w:tc>
      </w:tr>
      <w:tr w:rsidR="004F003C" w:rsidRPr="00401930" w14:paraId="1531111C" w14:textId="77777777">
        <w:tc>
          <w:tcPr>
            <w:tcW w:w="1712" w:type="dxa"/>
            <w:tcBorders>
              <w:top w:val="single" w:sz="4" w:space="0" w:color="auto"/>
              <w:left w:val="single" w:sz="4" w:space="0" w:color="auto"/>
              <w:bottom w:val="single" w:sz="4" w:space="0" w:color="auto"/>
              <w:right w:val="single" w:sz="4" w:space="0" w:color="auto"/>
            </w:tcBorders>
          </w:tcPr>
          <w:p w14:paraId="04CFAE9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Kredyt historyczny</w:t>
            </w:r>
          </w:p>
        </w:tc>
        <w:tc>
          <w:tcPr>
            <w:tcW w:w="1712" w:type="dxa"/>
            <w:tcBorders>
              <w:top w:val="single" w:sz="4" w:space="0" w:color="auto"/>
              <w:left w:val="single" w:sz="4" w:space="0" w:color="auto"/>
              <w:bottom w:val="single" w:sz="4" w:space="0" w:color="auto"/>
              <w:right w:val="single" w:sz="4" w:space="0" w:color="auto"/>
            </w:tcBorders>
          </w:tcPr>
          <w:p w14:paraId="2E69A7C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1712" w:type="dxa"/>
            <w:tcBorders>
              <w:top w:val="single" w:sz="4" w:space="0" w:color="auto"/>
              <w:left w:val="single" w:sz="4" w:space="0" w:color="auto"/>
              <w:bottom w:val="single" w:sz="4" w:space="0" w:color="auto"/>
              <w:right w:val="single" w:sz="4" w:space="0" w:color="auto"/>
            </w:tcBorders>
          </w:tcPr>
          <w:p w14:paraId="26565DB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2 000 000,00</w:t>
            </w:r>
          </w:p>
        </w:tc>
        <w:tc>
          <w:tcPr>
            <w:tcW w:w="1712" w:type="dxa"/>
            <w:tcBorders>
              <w:top w:val="single" w:sz="4" w:space="0" w:color="auto"/>
              <w:left w:val="single" w:sz="4" w:space="0" w:color="auto"/>
              <w:bottom w:val="single" w:sz="4" w:space="0" w:color="auto"/>
              <w:right w:val="single" w:sz="4" w:space="0" w:color="auto"/>
            </w:tcBorders>
          </w:tcPr>
          <w:p w14:paraId="5A5679A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1 915 000,00</w:t>
            </w:r>
          </w:p>
        </w:tc>
        <w:tc>
          <w:tcPr>
            <w:tcW w:w="1712" w:type="dxa"/>
            <w:tcBorders>
              <w:top w:val="single" w:sz="4" w:space="0" w:color="auto"/>
              <w:left w:val="single" w:sz="4" w:space="0" w:color="auto"/>
              <w:bottom w:val="single" w:sz="4" w:space="0" w:color="auto"/>
              <w:right w:val="single" w:sz="4" w:space="0" w:color="auto"/>
            </w:tcBorders>
          </w:tcPr>
          <w:p w14:paraId="428576F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2 000 000,00</w:t>
            </w:r>
          </w:p>
        </w:tc>
      </w:tr>
      <w:tr w:rsidR="004F003C" w:rsidRPr="00401930" w14:paraId="293F2654" w14:textId="77777777">
        <w:tc>
          <w:tcPr>
            <w:tcW w:w="1712" w:type="dxa"/>
            <w:tcBorders>
              <w:top w:val="single" w:sz="4" w:space="0" w:color="auto"/>
              <w:left w:val="single" w:sz="4" w:space="0" w:color="auto"/>
              <w:bottom w:val="single" w:sz="4" w:space="0" w:color="auto"/>
              <w:right w:val="single" w:sz="4" w:space="0" w:color="auto"/>
            </w:tcBorders>
          </w:tcPr>
          <w:p w14:paraId="166A27E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Kredyt planowany</w:t>
            </w:r>
          </w:p>
        </w:tc>
        <w:tc>
          <w:tcPr>
            <w:tcW w:w="1712" w:type="dxa"/>
            <w:tcBorders>
              <w:top w:val="single" w:sz="4" w:space="0" w:color="auto"/>
              <w:left w:val="single" w:sz="4" w:space="0" w:color="auto"/>
              <w:bottom w:val="single" w:sz="4" w:space="0" w:color="auto"/>
              <w:right w:val="single" w:sz="4" w:space="0" w:color="auto"/>
            </w:tcBorders>
          </w:tcPr>
          <w:p w14:paraId="018A974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1712" w:type="dxa"/>
            <w:tcBorders>
              <w:top w:val="single" w:sz="4" w:space="0" w:color="auto"/>
              <w:left w:val="single" w:sz="4" w:space="0" w:color="auto"/>
              <w:bottom w:val="single" w:sz="4" w:space="0" w:color="auto"/>
              <w:right w:val="single" w:sz="4" w:space="0" w:color="auto"/>
            </w:tcBorders>
          </w:tcPr>
          <w:p w14:paraId="3CD9382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1712" w:type="dxa"/>
            <w:tcBorders>
              <w:top w:val="single" w:sz="4" w:space="0" w:color="auto"/>
              <w:left w:val="single" w:sz="4" w:space="0" w:color="auto"/>
              <w:bottom w:val="single" w:sz="4" w:space="0" w:color="auto"/>
              <w:right w:val="single" w:sz="4" w:space="0" w:color="auto"/>
            </w:tcBorders>
          </w:tcPr>
          <w:p w14:paraId="744C426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1712" w:type="dxa"/>
            <w:tcBorders>
              <w:top w:val="single" w:sz="4" w:space="0" w:color="auto"/>
              <w:left w:val="single" w:sz="4" w:space="0" w:color="auto"/>
              <w:bottom w:val="single" w:sz="4" w:space="0" w:color="auto"/>
              <w:right w:val="single" w:sz="4" w:space="0" w:color="auto"/>
            </w:tcBorders>
          </w:tcPr>
          <w:p w14:paraId="2C9D4A7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r>
      <w:tr w:rsidR="004F003C" w:rsidRPr="00401930" w14:paraId="7BEB56E2" w14:textId="77777777">
        <w:tc>
          <w:tcPr>
            <w:tcW w:w="1712" w:type="dxa"/>
            <w:tcBorders>
              <w:top w:val="single" w:sz="4" w:space="0" w:color="auto"/>
              <w:left w:val="single" w:sz="4" w:space="0" w:color="auto"/>
              <w:bottom w:val="single" w:sz="4" w:space="0" w:color="auto"/>
              <w:right w:val="single" w:sz="4" w:space="0" w:color="auto"/>
            </w:tcBorders>
          </w:tcPr>
          <w:p w14:paraId="76AE2F9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Roczna rata kapitałowa</w:t>
            </w:r>
          </w:p>
        </w:tc>
        <w:tc>
          <w:tcPr>
            <w:tcW w:w="1712" w:type="dxa"/>
            <w:tcBorders>
              <w:top w:val="single" w:sz="4" w:space="0" w:color="auto"/>
              <w:left w:val="single" w:sz="4" w:space="0" w:color="auto"/>
              <w:bottom w:val="single" w:sz="4" w:space="0" w:color="auto"/>
              <w:right w:val="single" w:sz="4" w:space="0" w:color="auto"/>
            </w:tcBorders>
          </w:tcPr>
          <w:p w14:paraId="1364B43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1712" w:type="dxa"/>
            <w:tcBorders>
              <w:top w:val="single" w:sz="4" w:space="0" w:color="auto"/>
              <w:left w:val="single" w:sz="4" w:space="0" w:color="auto"/>
              <w:bottom w:val="single" w:sz="4" w:space="0" w:color="auto"/>
              <w:right w:val="single" w:sz="4" w:space="0" w:color="auto"/>
            </w:tcBorders>
          </w:tcPr>
          <w:p w14:paraId="196234F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2 000 000,00</w:t>
            </w:r>
          </w:p>
        </w:tc>
        <w:tc>
          <w:tcPr>
            <w:tcW w:w="1712" w:type="dxa"/>
            <w:tcBorders>
              <w:top w:val="single" w:sz="4" w:space="0" w:color="auto"/>
              <w:left w:val="single" w:sz="4" w:space="0" w:color="auto"/>
              <w:bottom w:val="single" w:sz="4" w:space="0" w:color="auto"/>
              <w:right w:val="single" w:sz="4" w:space="0" w:color="auto"/>
            </w:tcBorders>
          </w:tcPr>
          <w:p w14:paraId="6795B34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1 915 000,00</w:t>
            </w:r>
          </w:p>
        </w:tc>
        <w:tc>
          <w:tcPr>
            <w:tcW w:w="1712" w:type="dxa"/>
            <w:tcBorders>
              <w:top w:val="single" w:sz="4" w:space="0" w:color="auto"/>
              <w:left w:val="single" w:sz="4" w:space="0" w:color="auto"/>
              <w:bottom w:val="single" w:sz="4" w:space="0" w:color="auto"/>
              <w:right w:val="single" w:sz="4" w:space="0" w:color="auto"/>
            </w:tcBorders>
          </w:tcPr>
          <w:p w14:paraId="750C823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2 000 000,00</w:t>
            </w:r>
          </w:p>
        </w:tc>
      </w:tr>
      <w:tr w:rsidR="004F003C" w:rsidRPr="00401930" w14:paraId="13733DA9" w14:textId="77777777">
        <w:tc>
          <w:tcPr>
            <w:tcW w:w="1712" w:type="dxa"/>
            <w:tcBorders>
              <w:top w:val="single" w:sz="4" w:space="0" w:color="auto"/>
              <w:left w:val="single" w:sz="4" w:space="0" w:color="auto"/>
              <w:bottom w:val="single" w:sz="4" w:space="0" w:color="auto"/>
              <w:right w:val="single" w:sz="4" w:space="0" w:color="auto"/>
            </w:tcBorders>
          </w:tcPr>
          <w:p w14:paraId="0E71083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Wyszczególnienie</w:t>
            </w:r>
          </w:p>
        </w:tc>
        <w:tc>
          <w:tcPr>
            <w:tcW w:w="1712" w:type="dxa"/>
            <w:tcBorders>
              <w:top w:val="single" w:sz="4" w:space="0" w:color="auto"/>
              <w:left w:val="single" w:sz="4" w:space="0" w:color="auto"/>
              <w:bottom w:val="single" w:sz="4" w:space="0" w:color="auto"/>
              <w:right w:val="single" w:sz="4" w:space="0" w:color="auto"/>
            </w:tcBorders>
            <w:vAlign w:val="bottom"/>
          </w:tcPr>
          <w:p w14:paraId="215550B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2026</w:t>
            </w:r>
          </w:p>
        </w:tc>
        <w:tc>
          <w:tcPr>
            <w:tcW w:w="1712" w:type="dxa"/>
            <w:tcBorders>
              <w:top w:val="single" w:sz="4" w:space="0" w:color="auto"/>
              <w:left w:val="single" w:sz="4" w:space="0" w:color="auto"/>
              <w:bottom w:val="single" w:sz="4" w:space="0" w:color="auto"/>
              <w:right w:val="single" w:sz="4" w:space="0" w:color="auto"/>
            </w:tcBorders>
            <w:vAlign w:val="bottom"/>
          </w:tcPr>
          <w:p w14:paraId="6107614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2027</w:t>
            </w:r>
          </w:p>
        </w:tc>
        <w:tc>
          <w:tcPr>
            <w:tcW w:w="1712" w:type="dxa"/>
            <w:tcBorders>
              <w:top w:val="single" w:sz="4" w:space="0" w:color="auto"/>
              <w:left w:val="single" w:sz="4" w:space="0" w:color="auto"/>
              <w:bottom w:val="single" w:sz="4" w:space="0" w:color="auto"/>
              <w:right w:val="single" w:sz="4" w:space="0" w:color="auto"/>
            </w:tcBorders>
            <w:vAlign w:val="bottom"/>
          </w:tcPr>
          <w:p w14:paraId="732C2CA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2028</w:t>
            </w:r>
          </w:p>
        </w:tc>
        <w:tc>
          <w:tcPr>
            <w:tcW w:w="1712" w:type="dxa"/>
            <w:tcBorders>
              <w:top w:val="single" w:sz="4" w:space="0" w:color="auto"/>
              <w:left w:val="single" w:sz="4" w:space="0" w:color="auto"/>
              <w:bottom w:val="single" w:sz="4" w:space="0" w:color="auto"/>
              <w:right w:val="single" w:sz="4" w:space="0" w:color="auto"/>
            </w:tcBorders>
            <w:vAlign w:val="bottom"/>
          </w:tcPr>
          <w:p w14:paraId="00BAA5B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2029</w:t>
            </w:r>
          </w:p>
        </w:tc>
      </w:tr>
      <w:tr w:rsidR="004F003C" w:rsidRPr="00401930" w14:paraId="55BB57D8" w14:textId="77777777">
        <w:tc>
          <w:tcPr>
            <w:tcW w:w="1712" w:type="dxa"/>
            <w:tcBorders>
              <w:top w:val="single" w:sz="4" w:space="0" w:color="auto"/>
              <w:left w:val="single" w:sz="4" w:space="0" w:color="auto"/>
              <w:bottom w:val="single" w:sz="4" w:space="0" w:color="auto"/>
              <w:right w:val="single" w:sz="4" w:space="0" w:color="auto"/>
            </w:tcBorders>
          </w:tcPr>
          <w:p w14:paraId="4711456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Kredyt historyczny</w:t>
            </w:r>
          </w:p>
        </w:tc>
        <w:tc>
          <w:tcPr>
            <w:tcW w:w="1712" w:type="dxa"/>
            <w:tcBorders>
              <w:top w:val="single" w:sz="4" w:space="0" w:color="auto"/>
              <w:left w:val="single" w:sz="4" w:space="0" w:color="auto"/>
              <w:bottom w:val="single" w:sz="4" w:space="0" w:color="auto"/>
              <w:right w:val="single" w:sz="4" w:space="0" w:color="auto"/>
            </w:tcBorders>
          </w:tcPr>
          <w:p w14:paraId="7C9F561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2 000 000,00</w:t>
            </w:r>
          </w:p>
        </w:tc>
        <w:tc>
          <w:tcPr>
            <w:tcW w:w="1712" w:type="dxa"/>
            <w:tcBorders>
              <w:top w:val="single" w:sz="4" w:space="0" w:color="auto"/>
              <w:left w:val="single" w:sz="4" w:space="0" w:color="auto"/>
              <w:bottom w:val="single" w:sz="4" w:space="0" w:color="auto"/>
              <w:right w:val="single" w:sz="4" w:space="0" w:color="auto"/>
            </w:tcBorders>
          </w:tcPr>
          <w:p w14:paraId="07B5B8C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2 000 000,00</w:t>
            </w:r>
          </w:p>
        </w:tc>
        <w:tc>
          <w:tcPr>
            <w:tcW w:w="1712" w:type="dxa"/>
            <w:tcBorders>
              <w:top w:val="single" w:sz="4" w:space="0" w:color="auto"/>
              <w:left w:val="single" w:sz="4" w:space="0" w:color="auto"/>
              <w:bottom w:val="single" w:sz="4" w:space="0" w:color="auto"/>
              <w:right w:val="single" w:sz="4" w:space="0" w:color="auto"/>
            </w:tcBorders>
          </w:tcPr>
          <w:p w14:paraId="617E3B4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1 500 000,00</w:t>
            </w:r>
          </w:p>
        </w:tc>
        <w:tc>
          <w:tcPr>
            <w:tcW w:w="1712" w:type="dxa"/>
            <w:tcBorders>
              <w:top w:val="single" w:sz="4" w:space="0" w:color="auto"/>
              <w:left w:val="single" w:sz="4" w:space="0" w:color="auto"/>
              <w:bottom w:val="single" w:sz="4" w:space="0" w:color="auto"/>
              <w:right w:val="single" w:sz="4" w:space="0" w:color="auto"/>
            </w:tcBorders>
          </w:tcPr>
          <w:p w14:paraId="42B5DBB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500 000,00</w:t>
            </w:r>
          </w:p>
        </w:tc>
      </w:tr>
      <w:tr w:rsidR="004F003C" w:rsidRPr="00401930" w14:paraId="0B320A52" w14:textId="77777777">
        <w:tc>
          <w:tcPr>
            <w:tcW w:w="1712" w:type="dxa"/>
            <w:tcBorders>
              <w:top w:val="single" w:sz="4" w:space="0" w:color="auto"/>
              <w:left w:val="single" w:sz="4" w:space="0" w:color="auto"/>
              <w:bottom w:val="single" w:sz="4" w:space="0" w:color="auto"/>
              <w:right w:val="single" w:sz="4" w:space="0" w:color="auto"/>
            </w:tcBorders>
          </w:tcPr>
          <w:p w14:paraId="0F25DB2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Kredyt planowany</w:t>
            </w:r>
          </w:p>
        </w:tc>
        <w:tc>
          <w:tcPr>
            <w:tcW w:w="1712" w:type="dxa"/>
            <w:tcBorders>
              <w:top w:val="single" w:sz="4" w:space="0" w:color="auto"/>
              <w:left w:val="single" w:sz="4" w:space="0" w:color="auto"/>
              <w:bottom w:val="single" w:sz="4" w:space="0" w:color="auto"/>
              <w:right w:val="single" w:sz="4" w:space="0" w:color="auto"/>
            </w:tcBorders>
          </w:tcPr>
          <w:p w14:paraId="3A5621C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1712" w:type="dxa"/>
            <w:tcBorders>
              <w:top w:val="single" w:sz="4" w:space="0" w:color="auto"/>
              <w:left w:val="single" w:sz="4" w:space="0" w:color="auto"/>
              <w:bottom w:val="single" w:sz="4" w:space="0" w:color="auto"/>
              <w:right w:val="single" w:sz="4" w:space="0" w:color="auto"/>
            </w:tcBorders>
          </w:tcPr>
          <w:p w14:paraId="155B376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1712" w:type="dxa"/>
            <w:tcBorders>
              <w:top w:val="single" w:sz="4" w:space="0" w:color="auto"/>
              <w:left w:val="single" w:sz="4" w:space="0" w:color="auto"/>
              <w:bottom w:val="single" w:sz="4" w:space="0" w:color="auto"/>
              <w:right w:val="single" w:sz="4" w:space="0" w:color="auto"/>
            </w:tcBorders>
          </w:tcPr>
          <w:p w14:paraId="6769F96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1712" w:type="dxa"/>
            <w:tcBorders>
              <w:top w:val="single" w:sz="4" w:space="0" w:color="auto"/>
              <w:left w:val="single" w:sz="4" w:space="0" w:color="auto"/>
              <w:bottom w:val="single" w:sz="4" w:space="0" w:color="auto"/>
              <w:right w:val="single" w:sz="4" w:space="0" w:color="auto"/>
            </w:tcBorders>
          </w:tcPr>
          <w:p w14:paraId="6792F0F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1 000 000,00</w:t>
            </w:r>
          </w:p>
        </w:tc>
      </w:tr>
      <w:tr w:rsidR="004F003C" w:rsidRPr="00401930" w14:paraId="1F3AE516" w14:textId="77777777">
        <w:tc>
          <w:tcPr>
            <w:tcW w:w="1712" w:type="dxa"/>
            <w:tcBorders>
              <w:top w:val="single" w:sz="4" w:space="0" w:color="auto"/>
              <w:left w:val="single" w:sz="4" w:space="0" w:color="auto"/>
              <w:bottom w:val="single" w:sz="4" w:space="0" w:color="auto"/>
              <w:right w:val="single" w:sz="4" w:space="0" w:color="auto"/>
            </w:tcBorders>
          </w:tcPr>
          <w:p w14:paraId="19C2AB2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Roczna rata kapitałowa</w:t>
            </w:r>
          </w:p>
        </w:tc>
        <w:tc>
          <w:tcPr>
            <w:tcW w:w="1712" w:type="dxa"/>
            <w:tcBorders>
              <w:top w:val="single" w:sz="4" w:space="0" w:color="auto"/>
              <w:left w:val="single" w:sz="4" w:space="0" w:color="auto"/>
              <w:bottom w:val="single" w:sz="4" w:space="0" w:color="auto"/>
              <w:right w:val="single" w:sz="4" w:space="0" w:color="auto"/>
            </w:tcBorders>
          </w:tcPr>
          <w:p w14:paraId="5C2DD0D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2 000 000,00</w:t>
            </w:r>
          </w:p>
        </w:tc>
        <w:tc>
          <w:tcPr>
            <w:tcW w:w="1712" w:type="dxa"/>
            <w:tcBorders>
              <w:top w:val="single" w:sz="4" w:space="0" w:color="auto"/>
              <w:left w:val="single" w:sz="4" w:space="0" w:color="auto"/>
              <w:bottom w:val="single" w:sz="4" w:space="0" w:color="auto"/>
              <w:right w:val="single" w:sz="4" w:space="0" w:color="auto"/>
            </w:tcBorders>
          </w:tcPr>
          <w:p w14:paraId="64B091E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2 000 000,00</w:t>
            </w:r>
          </w:p>
        </w:tc>
        <w:tc>
          <w:tcPr>
            <w:tcW w:w="1712" w:type="dxa"/>
            <w:tcBorders>
              <w:top w:val="single" w:sz="4" w:space="0" w:color="auto"/>
              <w:left w:val="single" w:sz="4" w:space="0" w:color="auto"/>
              <w:bottom w:val="single" w:sz="4" w:space="0" w:color="auto"/>
              <w:right w:val="single" w:sz="4" w:space="0" w:color="auto"/>
            </w:tcBorders>
          </w:tcPr>
          <w:p w14:paraId="64D9482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1 500 000,00</w:t>
            </w:r>
          </w:p>
        </w:tc>
        <w:tc>
          <w:tcPr>
            <w:tcW w:w="1712" w:type="dxa"/>
            <w:tcBorders>
              <w:top w:val="single" w:sz="4" w:space="0" w:color="auto"/>
              <w:left w:val="single" w:sz="4" w:space="0" w:color="auto"/>
              <w:bottom w:val="single" w:sz="4" w:space="0" w:color="auto"/>
              <w:right w:val="single" w:sz="4" w:space="0" w:color="auto"/>
            </w:tcBorders>
          </w:tcPr>
          <w:p w14:paraId="7EB274E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1 500 000,00</w:t>
            </w:r>
          </w:p>
        </w:tc>
      </w:tr>
      <w:tr w:rsidR="004F003C" w:rsidRPr="00401930" w14:paraId="36894913" w14:textId="77777777">
        <w:tc>
          <w:tcPr>
            <w:tcW w:w="1712" w:type="dxa"/>
            <w:tcBorders>
              <w:top w:val="single" w:sz="4" w:space="0" w:color="auto"/>
              <w:left w:val="single" w:sz="4" w:space="0" w:color="auto"/>
              <w:bottom w:val="single" w:sz="4" w:space="0" w:color="auto"/>
              <w:right w:val="single" w:sz="4" w:space="0" w:color="auto"/>
            </w:tcBorders>
          </w:tcPr>
          <w:p w14:paraId="31732E8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Wyszczególnienie</w:t>
            </w:r>
          </w:p>
        </w:tc>
        <w:tc>
          <w:tcPr>
            <w:tcW w:w="1712" w:type="dxa"/>
            <w:tcBorders>
              <w:top w:val="single" w:sz="4" w:space="0" w:color="auto"/>
              <w:left w:val="single" w:sz="4" w:space="0" w:color="auto"/>
              <w:bottom w:val="single" w:sz="4" w:space="0" w:color="auto"/>
              <w:right w:val="single" w:sz="4" w:space="0" w:color="auto"/>
            </w:tcBorders>
            <w:vAlign w:val="bottom"/>
          </w:tcPr>
          <w:p w14:paraId="2ACC80A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2030</w:t>
            </w:r>
          </w:p>
        </w:tc>
        <w:tc>
          <w:tcPr>
            <w:tcW w:w="1712" w:type="dxa"/>
            <w:tcBorders>
              <w:top w:val="single" w:sz="4" w:space="0" w:color="auto"/>
              <w:left w:val="single" w:sz="4" w:space="0" w:color="auto"/>
              <w:bottom w:val="single" w:sz="4" w:space="0" w:color="auto"/>
              <w:right w:val="single" w:sz="4" w:space="0" w:color="auto"/>
            </w:tcBorders>
            <w:vAlign w:val="bottom"/>
          </w:tcPr>
          <w:p w14:paraId="026F71F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2031</w:t>
            </w:r>
          </w:p>
        </w:tc>
        <w:tc>
          <w:tcPr>
            <w:tcW w:w="3424" w:type="dxa"/>
            <w:gridSpan w:val="2"/>
            <w:vMerge w:val="restart"/>
            <w:tcBorders>
              <w:top w:val="single" w:sz="4" w:space="0" w:color="auto"/>
              <w:left w:val="single" w:sz="4" w:space="0" w:color="auto"/>
              <w:bottom w:val="nil"/>
              <w:right w:val="single" w:sz="4" w:space="0" w:color="auto"/>
            </w:tcBorders>
          </w:tcPr>
          <w:p w14:paraId="0872C8A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p>
        </w:tc>
      </w:tr>
      <w:tr w:rsidR="004F003C" w:rsidRPr="00401930" w14:paraId="5BCB0831" w14:textId="77777777">
        <w:tc>
          <w:tcPr>
            <w:tcW w:w="1712" w:type="dxa"/>
            <w:tcBorders>
              <w:top w:val="single" w:sz="4" w:space="0" w:color="auto"/>
              <w:left w:val="single" w:sz="4" w:space="0" w:color="auto"/>
              <w:bottom w:val="single" w:sz="4" w:space="0" w:color="auto"/>
              <w:right w:val="single" w:sz="4" w:space="0" w:color="auto"/>
            </w:tcBorders>
          </w:tcPr>
          <w:p w14:paraId="4BC53F8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Kredyt historyczny</w:t>
            </w:r>
          </w:p>
        </w:tc>
        <w:tc>
          <w:tcPr>
            <w:tcW w:w="1712" w:type="dxa"/>
            <w:tcBorders>
              <w:top w:val="single" w:sz="4" w:space="0" w:color="auto"/>
              <w:left w:val="single" w:sz="4" w:space="0" w:color="auto"/>
              <w:bottom w:val="single" w:sz="4" w:space="0" w:color="auto"/>
              <w:right w:val="single" w:sz="4" w:space="0" w:color="auto"/>
            </w:tcBorders>
          </w:tcPr>
          <w:p w14:paraId="6922DC3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1712" w:type="dxa"/>
            <w:tcBorders>
              <w:top w:val="single" w:sz="4" w:space="0" w:color="auto"/>
              <w:left w:val="single" w:sz="4" w:space="0" w:color="auto"/>
              <w:bottom w:val="single" w:sz="4" w:space="0" w:color="auto"/>
              <w:right w:val="single" w:sz="4" w:space="0" w:color="auto"/>
            </w:tcBorders>
          </w:tcPr>
          <w:p w14:paraId="7967BA7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0,00</w:t>
            </w:r>
          </w:p>
        </w:tc>
        <w:tc>
          <w:tcPr>
            <w:tcW w:w="3424" w:type="dxa"/>
            <w:gridSpan w:val="2"/>
            <w:vMerge/>
            <w:tcBorders>
              <w:top w:val="nil"/>
              <w:left w:val="single" w:sz="4" w:space="0" w:color="auto"/>
              <w:bottom w:val="single" w:sz="4" w:space="0" w:color="auto"/>
              <w:right w:val="single" w:sz="4" w:space="0" w:color="auto"/>
            </w:tcBorders>
          </w:tcPr>
          <w:p w14:paraId="1B6A65AB" w14:textId="77777777" w:rsidR="004F003C" w:rsidRPr="00401930" w:rsidRDefault="004F003C" w:rsidP="004F003C">
            <w:pPr>
              <w:widowControl w:val="0"/>
              <w:autoSpaceDE w:val="0"/>
              <w:autoSpaceDN w:val="0"/>
              <w:adjustRightInd w:val="0"/>
              <w:spacing w:after="0" w:line="240" w:lineRule="auto"/>
              <w:rPr>
                <w:rFonts w:ascii="Arial Narrow" w:hAnsi="Arial Narrow" w:cs="Arial"/>
                <w:sz w:val="20"/>
                <w:szCs w:val="20"/>
              </w:rPr>
            </w:pPr>
          </w:p>
        </w:tc>
      </w:tr>
      <w:tr w:rsidR="004F003C" w:rsidRPr="00401930" w14:paraId="7BDA1E28" w14:textId="77777777">
        <w:tc>
          <w:tcPr>
            <w:tcW w:w="1712" w:type="dxa"/>
            <w:tcBorders>
              <w:top w:val="single" w:sz="4" w:space="0" w:color="auto"/>
              <w:left w:val="single" w:sz="4" w:space="0" w:color="auto"/>
              <w:bottom w:val="single" w:sz="4" w:space="0" w:color="auto"/>
              <w:right w:val="single" w:sz="4" w:space="0" w:color="auto"/>
            </w:tcBorders>
          </w:tcPr>
          <w:p w14:paraId="17062D0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Kredyt planowany</w:t>
            </w:r>
          </w:p>
        </w:tc>
        <w:tc>
          <w:tcPr>
            <w:tcW w:w="1712" w:type="dxa"/>
            <w:tcBorders>
              <w:top w:val="single" w:sz="4" w:space="0" w:color="auto"/>
              <w:left w:val="single" w:sz="4" w:space="0" w:color="auto"/>
              <w:bottom w:val="single" w:sz="4" w:space="0" w:color="auto"/>
              <w:right w:val="single" w:sz="4" w:space="0" w:color="auto"/>
            </w:tcBorders>
          </w:tcPr>
          <w:p w14:paraId="62FAF8C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1 500 000,00</w:t>
            </w:r>
          </w:p>
        </w:tc>
        <w:tc>
          <w:tcPr>
            <w:tcW w:w="1712" w:type="dxa"/>
            <w:tcBorders>
              <w:top w:val="single" w:sz="4" w:space="0" w:color="auto"/>
              <w:left w:val="single" w:sz="4" w:space="0" w:color="auto"/>
              <w:bottom w:val="single" w:sz="4" w:space="0" w:color="auto"/>
              <w:right w:val="single" w:sz="4" w:space="0" w:color="auto"/>
            </w:tcBorders>
          </w:tcPr>
          <w:p w14:paraId="5125E45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1 500 000,00</w:t>
            </w:r>
          </w:p>
        </w:tc>
        <w:tc>
          <w:tcPr>
            <w:tcW w:w="3424" w:type="dxa"/>
            <w:gridSpan w:val="2"/>
            <w:vMerge/>
            <w:tcBorders>
              <w:top w:val="nil"/>
              <w:left w:val="single" w:sz="4" w:space="0" w:color="auto"/>
              <w:bottom w:val="single" w:sz="4" w:space="0" w:color="auto"/>
              <w:right w:val="single" w:sz="4" w:space="0" w:color="auto"/>
            </w:tcBorders>
          </w:tcPr>
          <w:p w14:paraId="35B50052" w14:textId="77777777" w:rsidR="004F003C" w:rsidRPr="00401930" w:rsidRDefault="004F003C" w:rsidP="004F003C">
            <w:pPr>
              <w:widowControl w:val="0"/>
              <w:autoSpaceDE w:val="0"/>
              <w:autoSpaceDN w:val="0"/>
              <w:adjustRightInd w:val="0"/>
              <w:spacing w:after="0" w:line="240" w:lineRule="auto"/>
              <w:rPr>
                <w:rFonts w:ascii="Arial Narrow" w:hAnsi="Arial Narrow" w:cs="Arial"/>
                <w:sz w:val="20"/>
                <w:szCs w:val="20"/>
              </w:rPr>
            </w:pPr>
          </w:p>
        </w:tc>
      </w:tr>
      <w:tr w:rsidR="004F003C" w:rsidRPr="00401930" w14:paraId="1D50D2FB" w14:textId="77777777">
        <w:tc>
          <w:tcPr>
            <w:tcW w:w="1712" w:type="dxa"/>
            <w:tcBorders>
              <w:top w:val="single" w:sz="4" w:space="0" w:color="auto"/>
              <w:left w:val="single" w:sz="4" w:space="0" w:color="auto"/>
              <w:bottom w:val="single" w:sz="4" w:space="0" w:color="auto"/>
              <w:right w:val="single" w:sz="4" w:space="0" w:color="auto"/>
            </w:tcBorders>
          </w:tcPr>
          <w:p w14:paraId="79C3D29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Roczna rata kapitałowa</w:t>
            </w:r>
          </w:p>
        </w:tc>
        <w:tc>
          <w:tcPr>
            <w:tcW w:w="1712" w:type="dxa"/>
            <w:tcBorders>
              <w:top w:val="single" w:sz="4" w:space="0" w:color="auto"/>
              <w:left w:val="single" w:sz="4" w:space="0" w:color="auto"/>
              <w:bottom w:val="single" w:sz="4" w:space="0" w:color="auto"/>
              <w:right w:val="single" w:sz="4" w:space="0" w:color="auto"/>
            </w:tcBorders>
          </w:tcPr>
          <w:p w14:paraId="6873315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1 500 000,00</w:t>
            </w:r>
          </w:p>
        </w:tc>
        <w:tc>
          <w:tcPr>
            <w:tcW w:w="1712" w:type="dxa"/>
            <w:tcBorders>
              <w:top w:val="single" w:sz="4" w:space="0" w:color="auto"/>
              <w:left w:val="single" w:sz="4" w:space="0" w:color="auto"/>
              <w:bottom w:val="single" w:sz="4" w:space="0" w:color="auto"/>
              <w:right w:val="single" w:sz="4" w:space="0" w:color="auto"/>
            </w:tcBorders>
          </w:tcPr>
          <w:p w14:paraId="2638B6E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1 500 000,00</w:t>
            </w:r>
          </w:p>
        </w:tc>
        <w:tc>
          <w:tcPr>
            <w:tcW w:w="3424" w:type="dxa"/>
            <w:gridSpan w:val="2"/>
            <w:vMerge/>
            <w:tcBorders>
              <w:top w:val="nil"/>
              <w:left w:val="single" w:sz="4" w:space="0" w:color="auto"/>
              <w:bottom w:val="nil"/>
              <w:right w:val="single" w:sz="4" w:space="0" w:color="auto"/>
            </w:tcBorders>
            <w:vAlign w:val="center"/>
          </w:tcPr>
          <w:p w14:paraId="68CD0BF6" w14:textId="77777777" w:rsidR="004F003C" w:rsidRPr="00401930" w:rsidRDefault="004F003C" w:rsidP="004F003C">
            <w:pPr>
              <w:widowControl w:val="0"/>
              <w:autoSpaceDE w:val="0"/>
              <w:autoSpaceDN w:val="0"/>
              <w:adjustRightInd w:val="0"/>
              <w:spacing w:after="0" w:line="240" w:lineRule="auto"/>
              <w:rPr>
                <w:rFonts w:ascii="Arial Narrow" w:hAnsi="Arial Narrow" w:cs="Arial"/>
                <w:sz w:val="20"/>
                <w:szCs w:val="20"/>
              </w:rPr>
            </w:pPr>
          </w:p>
        </w:tc>
      </w:tr>
    </w:tbl>
    <w:p w14:paraId="40BAAF4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sz w:val="16"/>
          <w:szCs w:val="16"/>
        </w:rPr>
      </w:pPr>
      <w:r w:rsidRPr="00401930">
        <w:rPr>
          <w:rFonts w:ascii="Arial Narrow" w:hAnsi="Arial Narrow" w:cs="Arial"/>
          <w:sz w:val="16"/>
          <w:szCs w:val="16"/>
        </w:rPr>
        <w:t>Źródło: Opracowanie własne.</w:t>
      </w:r>
    </w:p>
    <w:p w14:paraId="54E2938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sz w:val="24"/>
          <w:szCs w:val="24"/>
        </w:rPr>
      </w:pPr>
      <w:r w:rsidRPr="00401930">
        <w:rPr>
          <w:rFonts w:ascii="Arial Narrow" w:hAnsi="Arial Narrow" w:cs="Arial"/>
          <w:b/>
          <w:bCs/>
          <w:sz w:val="24"/>
          <w:szCs w:val="24"/>
        </w:rPr>
        <w:t>7. Relacja z art. 243 ustawy o finansach publicznych</w:t>
      </w:r>
    </w:p>
    <w:p w14:paraId="1341808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Zgodnie z art. 243 ust. 1 ustawy z dnia 27 sierpnia 2009 r. o finansach publicznych (</w:t>
      </w:r>
      <w:proofErr w:type="spellStart"/>
      <w:r w:rsidRPr="00401930">
        <w:rPr>
          <w:rFonts w:ascii="Arial Narrow" w:hAnsi="Arial Narrow" w:cs="Arial"/>
        </w:rPr>
        <w:t>t.j</w:t>
      </w:r>
      <w:proofErr w:type="spellEnd"/>
      <w:r w:rsidRPr="00401930">
        <w:rPr>
          <w:rFonts w:ascii="Arial Narrow" w:hAnsi="Arial Narrow" w:cs="Arial"/>
        </w:rPr>
        <w:t>. Dz. U. z 2019 r. poz. 869 z </w:t>
      </w:r>
      <w:proofErr w:type="spellStart"/>
      <w:r w:rsidRPr="00401930">
        <w:rPr>
          <w:rFonts w:ascii="Arial Narrow" w:hAnsi="Arial Narrow" w:cs="Arial"/>
        </w:rPr>
        <w:t>późn</w:t>
      </w:r>
      <w:proofErr w:type="spellEnd"/>
      <w:r w:rsidRPr="00401930">
        <w:rPr>
          <w:rFonts w:ascii="Arial Narrow" w:hAnsi="Arial Narrow" w:cs="Arial"/>
        </w:rPr>
        <w:t xml:space="preserve">. zm.) od 1 stycznia 2014 r. obowiązuje indywidualny wskaźnik zadłużenia dla samorządów. Według przepisów roczna wartość spłat zobowiązań i ich obsługi do planowanych dochodów bieżących </w:t>
      </w:r>
      <w:r w:rsidRPr="00401930">
        <w:rPr>
          <w:rFonts w:ascii="Arial Narrow" w:hAnsi="Arial Narrow" w:cs="Arial"/>
        </w:rPr>
        <w:lastRenderedPageBreak/>
        <w:t>pomniejszonych o dotacje i środki przeznaczone na cele bieżące nie może przekroczyć wskaźnika maksymalnej obsługi zadłużenia uwzględniającego wyłączenia wskazane w art. 243 ust. 3, 3a oraz 3b powyższej ustawy.</w:t>
      </w:r>
    </w:p>
    <w:p w14:paraId="52EB70A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Od 1 stycznia 2020 r. wskaźnik faktycznej obsługi zadłużenia został uzupełniony o umowy, które wywołują skutki ekonomiczne podobne do kredytu, pożyczki, depozytu czy emisji papierów wartościowych (zaciągnięte po 1 stycznia 2019 roku). Włączenie do wskaźnika obsługi zadłużenia ww. umów dotyczy zarówno spłaty rat, jak również wydatków bieżących na ich obsługę (odsetki, prowizje, opłaty).</w:t>
      </w:r>
    </w:p>
    <w:p w14:paraId="2D4DEC2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Natomiast na podstawie art. 15zob ust. 2 ustawy z dnia 2 marca 2020 r. o szczególnych rozwiązaniach związanych z zapobieganiem, przeciwdziałaniem i zwalczaniem COVID-19, innych chorób zakaźnych oraz wywołanych nimi sytuacji kryzysowych, ustalając relację ograniczającą wysokość spłaty długu JST:</w:t>
      </w:r>
    </w:p>
    <w:p w14:paraId="21691EB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Arial"/>
        </w:rPr>
        <w:tab/>
        <w:t>1. na lata 2020-2025 wydatki bieżące budżetu tej jednostki podlegają pomniejszeniu o wydatki bieżące na obsługę długu;</w:t>
      </w:r>
    </w:p>
    <w:p w14:paraId="58CCDD3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ab/>
        <w:t>2. na rok 2021 i lata kolejne wydatki bieżące budżetu tej jednostki podlegają pomniejszeniu o wydatki bieżące poniesione w 2020 r. w celu realizacji zadań związanych z przeciwdziałaniem COVID-19.</w:t>
      </w:r>
    </w:p>
    <w:p w14:paraId="464FC61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Kształt indywidualnego wskaźnika obsługi zadłużenia został obliczony zgodnie z wytycznymi dla okresów dostosowawczych, tj.:</w:t>
      </w:r>
    </w:p>
    <w:p w14:paraId="7D707B1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Narrow" w:hAnsi="Arial Narrow" w:cs="Arial"/>
        </w:rPr>
      </w:pPr>
      <w:r w:rsidRPr="00401930">
        <w:rPr>
          <w:rFonts w:ascii="Arial Narrow" w:hAnsi="Arial Narrow" w:cs="Arial"/>
        </w:rPr>
        <w:tab/>
        <w:t>1. na lata 2020-2025 w oparciu o art. 9 ust. 1 ustawy z dnia 14 grudnia 2018 r. o zmianie ustawy o finansach publicznych oraz niektórych innych ustaw;</w:t>
      </w:r>
    </w:p>
    <w:p w14:paraId="5F2FD7E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ab/>
        <w:t>2. od roku 2026 w oparciu o art. 9 ust. 2 ustawy z dnia 14 grudnia 2018 r. o zmianie ustawy o finansach publicznych oraz niektórych innych ustaw.</w:t>
      </w:r>
    </w:p>
    <w:p w14:paraId="497BC1E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Ponadto, zgodnie art. 7 pkt 1  Ustawy z dnia 14 października 2021 r. o zmianie ustawy o dochodach jednostek samorządu terytorialnego oraz niektórych innych ustaw, jednostki samorządu terytorialnego do dnia 31 grudnia 2021 r. mogą dokonać wyboru okresu 3-letniego bądź 7-letniego dla ustalania relacji z art. 243 ustawy o finansach publicznych dla lat 2022-2025.</w:t>
      </w:r>
    </w:p>
    <w:p w14:paraId="2BCB22E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Dane historyczne jednoznacznie wskazują, ze dla Powiatu Średzkiego korzystniejszy będzie wybór siedmioletniego okresu.</w:t>
      </w:r>
    </w:p>
    <w:p w14:paraId="2B0692D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cs="Arial"/>
          <w:sz w:val="18"/>
          <w:szCs w:val="18"/>
        </w:rPr>
      </w:pPr>
      <w:r w:rsidRPr="00401930">
        <w:rPr>
          <w:rFonts w:ascii="Arial Narrow" w:hAnsi="Arial Narrow" w:cs="Arial"/>
          <w:b/>
          <w:bCs/>
          <w:sz w:val="18"/>
          <w:szCs w:val="18"/>
        </w:rPr>
        <w:t xml:space="preserve">Tabela 7. Kształtowanie się relacji z art. 243 </w:t>
      </w:r>
      <w:proofErr w:type="spellStart"/>
      <w:r w:rsidRPr="00401930">
        <w:rPr>
          <w:rFonts w:ascii="Arial Narrow" w:hAnsi="Arial Narrow" w:cs="Arial"/>
          <w:b/>
          <w:bCs/>
          <w:sz w:val="18"/>
          <w:szCs w:val="18"/>
        </w:rPr>
        <w:t>uofp</w:t>
      </w:r>
      <w:proofErr w:type="spellEnd"/>
    </w:p>
    <w:tbl>
      <w:tblPr>
        <w:tblW w:w="0" w:type="auto"/>
        <w:tblInd w:w="10" w:type="dxa"/>
        <w:tblLayout w:type="fixed"/>
        <w:tblCellMar>
          <w:left w:w="10" w:type="dxa"/>
          <w:right w:w="10" w:type="dxa"/>
        </w:tblCellMar>
        <w:tblLook w:val="0000" w:firstRow="0" w:lastRow="0" w:firstColumn="0" w:lastColumn="0" w:noHBand="0" w:noVBand="0"/>
      </w:tblPr>
      <w:tblGrid>
        <w:gridCol w:w="2183"/>
        <w:gridCol w:w="1426"/>
        <w:gridCol w:w="1426"/>
        <w:gridCol w:w="1426"/>
        <w:gridCol w:w="1426"/>
        <w:gridCol w:w="1426"/>
      </w:tblGrid>
      <w:tr w:rsidR="004F003C" w:rsidRPr="00401930" w14:paraId="23CAD8FD" w14:textId="77777777">
        <w:tc>
          <w:tcPr>
            <w:tcW w:w="2183" w:type="dxa"/>
            <w:tcBorders>
              <w:top w:val="single" w:sz="4" w:space="0" w:color="auto"/>
              <w:left w:val="single" w:sz="4" w:space="0" w:color="auto"/>
              <w:bottom w:val="single" w:sz="4" w:space="0" w:color="auto"/>
              <w:right w:val="single" w:sz="4" w:space="0" w:color="auto"/>
            </w:tcBorders>
          </w:tcPr>
          <w:p w14:paraId="363B3DC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p>
        </w:tc>
        <w:tc>
          <w:tcPr>
            <w:tcW w:w="1426" w:type="dxa"/>
            <w:tcBorders>
              <w:top w:val="single" w:sz="4" w:space="0" w:color="auto"/>
              <w:left w:val="single" w:sz="4" w:space="0" w:color="auto"/>
              <w:bottom w:val="single" w:sz="4" w:space="0" w:color="auto"/>
              <w:right w:val="single" w:sz="4" w:space="0" w:color="auto"/>
            </w:tcBorders>
            <w:vAlign w:val="bottom"/>
          </w:tcPr>
          <w:p w14:paraId="19BE040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2022</w:t>
            </w:r>
          </w:p>
        </w:tc>
        <w:tc>
          <w:tcPr>
            <w:tcW w:w="1426" w:type="dxa"/>
            <w:tcBorders>
              <w:top w:val="single" w:sz="4" w:space="0" w:color="auto"/>
              <w:left w:val="single" w:sz="4" w:space="0" w:color="auto"/>
              <w:bottom w:val="single" w:sz="4" w:space="0" w:color="auto"/>
              <w:right w:val="single" w:sz="4" w:space="0" w:color="auto"/>
            </w:tcBorders>
            <w:vAlign w:val="bottom"/>
          </w:tcPr>
          <w:p w14:paraId="29ADBA1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2023</w:t>
            </w:r>
          </w:p>
        </w:tc>
        <w:tc>
          <w:tcPr>
            <w:tcW w:w="1426" w:type="dxa"/>
            <w:tcBorders>
              <w:top w:val="single" w:sz="4" w:space="0" w:color="auto"/>
              <w:left w:val="single" w:sz="4" w:space="0" w:color="auto"/>
              <w:bottom w:val="single" w:sz="4" w:space="0" w:color="auto"/>
              <w:right w:val="single" w:sz="4" w:space="0" w:color="auto"/>
            </w:tcBorders>
            <w:vAlign w:val="bottom"/>
          </w:tcPr>
          <w:p w14:paraId="08C7EE2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2024</w:t>
            </w:r>
          </w:p>
        </w:tc>
        <w:tc>
          <w:tcPr>
            <w:tcW w:w="1426" w:type="dxa"/>
            <w:tcBorders>
              <w:top w:val="single" w:sz="4" w:space="0" w:color="auto"/>
              <w:left w:val="single" w:sz="4" w:space="0" w:color="auto"/>
              <w:bottom w:val="single" w:sz="4" w:space="0" w:color="auto"/>
              <w:right w:val="single" w:sz="4" w:space="0" w:color="auto"/>
            </w:tcBorders>
            <w:vAlign w:val="bottom"/>
          </w:tcPr>
          <w:p w14:paraId="7907143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2025</w:t>
            </w:r>
          </w:p>
        </w:tc>
        <w:tc>
          <w:tcPr>
            <w:tcW w:w="1426" w:type="dxa"/>
            <w:tcBorders>
              <w:top w:val="single" w:sz="4" w:space="0" w:color="auto"/>
              <w:left w:val="single" w:sz="4" w:space="0" w:color="auto"/>
              <w:bottom w:val="single" w:sz="4" w:space="0" w:color="auto"/>
              <w:right w:val="single" w:sz="4" w:space="0" w:color="auto"/>
            </w:tcBorders>
            <w:vAlign w:val="bottom"/>
          </w:tcPr>
          <w:p w14:paraId="1F9EA27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2026</w:t>
            </w:r>
          </w:p>
        </w:tc>
      </w:tr>
      <w:tr w:rsidR="004F003C" w:rsidRPr="00401930" w14:paraId="7A099896" w14:textId="77777777">
        <w:tc>
          <w:tcPr>
            <w:tcW w:w="2183" w:type="dxa"/>
            <w:tcBorders>
              <w:top w:val="single" w:sz="4" w:space="0" w:color="auto"/>
              <w:left w:val="single" w:sz="4" w:space="0" w:color="auto"/>
              <w:bottom w:val="single" w:sz="4" w:space="0" w:color="auto"/>
              <w:right w:val="single" w:sz="4" w:space="0" w:color="auto"/>
            </w:tcBorders>
          </w:tcPr>
          <w:p w14:paraId="37F3392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Obsługa zadłużenia (fakt. i plan. po wyłączeniach)</w:t>
            </w:r>
          </w:p>
        </w:tc>
        <w:tc>
          <w:tcPr>
            <w:tcW w:w="1426" w:type="dxa"/>
            <w:tcBorders>
              <w:top w:val="single" w:sz="4" w:space="0" w:color="auto"/>
              <w:left w:val="single" w:sz="4" w:space="0" w:color="auto"/>
              <w:bottom w:val="single" w:sz="4" w:space="0" w:color="auto"/>
              <w:right w:val="single" w:sz="4" w:space="0" w:color="auto"/>
            </w:tcBorders>
          </w:tcPr>
          <w:p w14:paraId="08E36AF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0,98%</w:t>
            </w:r>
          </w:p>
        </w:tc>
        <w:tc>
          <w:tcPr>
            <w:tcW w:w="1426" w:type="dxa"/>
            <w:tcBorders>
              <w:top w:val="single" w:sz="4" w:space="0" w:color="auto"/>
              <w:left w:val="single" w:sz="4" w:space="0" w:color="auto"/>
              <w:bottom w:val="single" w:sz="4" w:space="0" w:color="auto"/>
              <w:right w:val="single" w:sz="4" w:space="0" w:color="auto"/>
            </w:tcBorders>
          </w:tcPr>
          <w:p w14:paraId="178ABC7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6,50%</w:t>
            </w:r>
          </w:p>
        </w:tc>
        <w:tc>
          <w:tcPr>
            <w:tcW w:w="1426" w:type="dxa"/>
            <w:tcBorders>
              <w:top w:val="single" w:sz="4" w:space="0" w:color="auto"/>
              <w:left w:val="single" w:sz="4" w:space="0" w:color="auto"/>
              <w:bottom w:val="single" w:sz="4" w:space="0" w:color="auto"/>
              <w:right w:val="single" w:sz="4" w:space="0" w:color="auto"/>
            </w:tcBorders>
          </w:tcPr>
          <w:p w14:paraId="406C6F4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5,91%</w:t>
            </w:r>
          </w:p>
        </w:tc>
        <w:tc>
          <w:tcPr>
            <w:tcW w:w="1426" w:type="dxa"/>
            <w:tcBorders>
              <w:top w:val="single" w:sz="4" w:space="0" w:color="auto"/>
              <w:left w:val="single" w:sz="4" w:space="0" w:color="auto"/>
              <w:bottom w:val="single" w:sz="4" w:space="0" w:color="auto"/>
              <w:right w:val="single" w:sz="4" w:space="0" w:color="auto"/>
            </w:tcBorders>
          </w:tcPr>
          <w:p w14:paraId="1AF4E48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5,76%</w:t>
            </w:r>
          </w:p>
        </w:tc>
        <w:tc>
          <w:tcPr>
            <w:tcW w:w="1426" w:type="dxa"/>
            <w:tcBorders>
              <w:top w:val="single" w:sz="4" w:space="0" w:color="auto"/>
              <w:left w:val="single" w:sz="4" w:space="0" w:color="auto"/>
              <w:bottom w:val="single" w:sz="4" w:space="0" w:color="auto"/>
              <w:right w:val="single" w:sz="4" w:space="0" w:color="auto"/>
            </w:tcBorders>
          </w:tcPr>
          <w:p w14:paraId="3FF0200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5,41%</w:t>
            </w:r>
          </w:p>
        </w:tc>
      </w:tr>
      <w:tr w:rsidR="004F003C" w:rsidRPr="00401930" w14:paraId="387D9868" w14:textId="77777777">
        <w:tc>
          <w:tcPr>
            <w:tcW w:w="2183" w:type="dxa"/>
            <w:tcBorders>
              <w:top w:val="single" w:sz="4" w:space="0" w:color="auto"/>
              <w:left w:val="single" w:sz="4" w:space="0" w:color="auto"/>
              <w:bottom w:val="single" w:sz="4" w:space="0" w:color="auto"/>
              <w:right w:val="single" w:sz="4" w:space="0" w:color="auto"/>
            </w:tcBorders>
          </w:tcPr>
          <w:p w14:paraId="5D2FAFD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Maksymalna obsługa zadłużenia (wg planu po III kwartale 2021)</w:t>
            </w:r>
          </w:p>
        </w:tc>
        <w:tc>
          <w:tcPr>
            <w:tcW w:w="1426" w:type="dxa"/>
            <w:tcBorders>
              <w:top w:val="single" w:sz="4" w:space="0" w:color="auto"/>
              <w:left w:val="single" w:sz="4" w:space="0" w:color="auto"/>
              <w:bottom w:val="single" w:sz="4" w:space="0" w:color="auto"/>
              <w:right w:val="single" w:sz="4" w:space="0" w:color="auto"/>
            </w:tcBorders>
          </w:tcPr>
          <w:p w14:paraId="0979ED5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13,85%</w:t>
            </w:r>
          </w:p>
        </w:tc>
        <w:tc>
          <w:tcPr>
            <w:tcW w:w="1426" w:type="dxa"/>
            <w:tcBorders>
              <w:top w:val="single" w:sz="4" w:space="0" w:color="auto"/>
              <w:left w:val="single" w:sz="4" w:space="0" w:color="auto"/>
              <w:bottom w:val="single" w:sz="4" w:space="0" w:color="auto"/>
              <w:right w:val="single" w:sz="4" w:space="0" w:color="auto"/>
            </w:tcBorders>
          </w:tcPr>
          <w:p w14:paraId="25926CA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8,68%</w:t>
            </w:r>
          </w:p>
        </w:tc>
        <w:tc>
          <w:tcPr>
            <w:tcW w:w="1426" w:type="dxa"/>
            <w:tcBorders>
              <w:top w:val="single" w:sz="4" w:space="0" w:color="auto"/>
              <w:left w:val="single" w:sz="4" w:space="0" w:color="auto"/>
              <w:bottom w:val="single" w:sz="4" w:space="0" w:color="auto"/>
              <w:right w:val="single" w:sz="4" w:space="0" w:color="auto"/>
            </w:tcBorders>
          </w:tcPr>
          <w:p w14:paraId="7D5F4B4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6,29%</w:t>
            </w:r>
          </w:p>
        </w:tc>
        <w:tc>
          <w:tcPr>
            <w:tcW w:w="1426" w:type="dxa"/>
            <w:tcBorders>
              <w:top w:val="single" w:sz="4" w:space="0" w:color="auto"/>
              <w:left w:val="single" w:sz="4" w:space="0" w:color="auto"/>
              <w:bottom w:val="single" w:sz="4" w:space="0" w:color="auto"/>
              <w:right w:val="single" w:sz="4" w:space="0" w:color="auto"/>
            </w:tcBorders>
          </w:tcPr>
          <w:p w14:paraId="4BD7283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6,14%</w:t>
            </w:r>
          </w:p>
        </w:tc>
        <w:tc>
          <w:tcPr>
            <w:tcW w:w="1426" w:type="dxa"/>
            <w:tcBorders>
              <w:top w:val="single" w:sz="4" w:space="0" w:color="auto"/>
              <w:left w:val="single" w:sz="4" w:space="0" w:color="auto"/>
              <w:bottom w:val="single" w:sz="4" w:space="0" w:color="auto"/>
              <w:right w:val="single" w:sz="4" w:space="0" w:color="auto"/>
            </w:tcBorders>
          </w:tcPr>
          <w:p w14:paraId="182E04D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9,77%</w:t>
            </w:r>
          </w:p>
        </w:tc>
      </w:tr>
      <w:tr w:rsidR="004F003C" w:rsidRPr="00401930" w14:paraId="29C82196" w14:textId="77777777">
        <w:tc>
          <w:tcPr>
            <w:tcW w:w="2183" w:type="dxa"/>
            <w:tcBorders>
              <w:top w:val="single" w:sz="4" w:space="0" w:color="auto"/>
              <w:left w:val="single" w:sz="4" w:space="0" w:color="auto"/>
              <w:bottom w:val="single" w:sz="4" w:space="0" w:color="auto"/>
              <w:right w:val="single" w:sz="4" w:space="0" w:color="auto"/>
            </w:tcBorders>
          </w:tcPr>
          <w:p w14:paraId="454CACD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Maksymalna obsługa zadłużenia (wg przewidywanego wykonania 2021)</w:t>
            </w:r>
          </w:p>
        </w:tc>
        <w:tc>
          <w:tcPr>
            <w:tcW w:w="1426" w:type="dxa"/>
            <w:tcBorders>
              <w:top w:val="single" w:sz="4" w:space="0" w:color="auto"/>
              <w:left w:val="single" w:sz="4" w:space="0" w:color="auto"/>
              <w:bottom w:val="single" w:sz="4" w:space="0" w:color="auto"/>
              <w:right w:val="single" w:sz="4" w:space="0" w:color="auto"/>
            </w:tcBorders>
          </w:tcPr>
          <w:p w14:paraId="29908762"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14,63%</w:t>
            </w:r>
          </w:p>
        </w:tc>
        <w:tc>
          <w:tcPr>
            <w:tcW w:w="1426" w:type="dxa"/>
            <w:tcBorders>
              <w:top w:val="single" w:sz="4" w:space="0" w:color="auto"/>
              <w:left w:val="single" w:sz="4" w:space="0" w:color="auto"/>
              <w:bottom w:val="single" w:sz="4" w:space="0" w:color="auto"/>
              <w:right w:val="single" w:sz="4" w:space="0" w:color="auto"/>
            </w:tcBorders>
          </w:tcPr>
          <w:p w14:paraId="28A6801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9,45%</w:t>
            </w:r>
          </w:p>
        </w:tc>
        <w:tc>
          <w:tcPr>
            <w:tcW w:w="1426" w:type="dxa"/>
            <w:tcBorders>
              <w:top w:val="single" w:sz="4" w:space="0" w:color="auto"/>
              <w:left w:val="single" w:sz="4" w:space="0" w:color="auto"/>
              <w:bottom w:val="single" w:sz="4" w:space="0" w:color="auto"/>
              <w:right w:val="single" w:sz="4" w:space="0" w:color="auto"/>
            </w:tcBorders>
          </w:tcPr>
          <w:p w14:paraId="168BA7E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7,06%</w:t>
            </w:r>
          </w:p>
        </w:tc>
        <w:tc>
          <w:tcPr>
            <w:tcW w:w="1426" w:type="dxa"/>
            <w:tcBorders>
              <w:top w:val="single" w:sz="4" w:space="0" w:color="auto"/>
              <w:left w:val="single" w:sz="4" w:space="0" w:color="auto"/>
              <w:bottom w:val="single" w:sz="4" w:space="0" w:color="auto"/>
              <w:right w:val="single" w:sz="4" w:space="0" w:color="auto"/>
            </w:tcBorders>
          </w:tcPr>
          <w:p w14:paraId="06B5045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6,14%</w:t>
            </w:r>
          </w:p>
        </w:tc>
        <w:tc>
          <w:tcPr>
            <w:tcW w:w="1426" w:type="dxa"/>
            <w:tcBorders>
              <w:top w:val="single" w:sz="4" w:space="0" w:color="auto"/>
              <w:left w:val="single" w:sz="4" w:space="0" w:color="auto"/>
              <w:bottom w:val="single" w:sz="4" w:space="0" w:color="auto"/>
              <w:right w:val="single" w:sz="4" w:space="0" w:color="auto"/>
            </w:tcBorders>
          </w:tcPr>
          <w:p w14:paraId="697432A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9,56%</w:t>
            </w:r>
          </w:p>
        </w:tc>
      </w:tr>
      <w:tr w:rsidR="004F003C" w:rsidRPr="00401930" w14:paraId="6B16EBA0" w14:textId="77777777">
        <w:tc>
          <w:tcPr>
            <w:tcW w:w="2183" w:type="dxa"/>
            <w:tcBorders>
              <w:top w:val="single" w:sz="4" w:space="0" w:color="auto"/>
              <w:left w:val="single" w:sz="4" w:space="0" w:color="auto"/>
              <w:bottom w:val="single" w:sz="4" w:space="0" w:color="auto"/>
              <w:right w:val="single" w:sz="4" w:space="0" w:color="auto"/>
            </w:tcBorders>
          </w:tcPr>
          <w:p w14:paraId="7DBD471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Zachowanie relacji z art. 243 (w oparciu o przewidywane wykonanie)</w:t>
            </w:r>
          </w:p>
        </w:tc>
        <w:tc>
          <w:tcPr>
            <w:tcW w:w="1426" w:type="dxa"/>
            <w:tcBorders>
              <w:top w:val="single" w:sz="4" w:space="0" w:color="auto"/>
              <w:left w:val="single" w:sz="4" w:space="0" w:color="auto"/>
              <w:bottom w:val="single" w:sz="4" w:space="0" w:color="auto"/>
              <w:right w:val="single" w:sz="4" w:space="0" w:color="auto"/>
            </w:tcBorders>
          </w:tcPr>
          <w:p w14:paraId="615C2D4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Tak</w:t>
            </w:r>
          </w:p>
        </w:tc>
        <w:tc>
          <w:tcPr>
            <w:tcW w:w="1426" w:type="dxa"/>
            <w:tcBorders>
              <w:top w:val="single" w:sz="4" w:space="0" w:color="auto"/>
              <w:left w:val="single" w:sz="4" w:space="0" w:color="auto"/>
              <w:bottom w:val="single" w:sz="4" w:space="0" w:color="auto"/>
              <w:right w:val="single" w:sz="4" w:space="0" w:color="auto"/>
            </w:tcBorders>
          </w:tcPr>
          <w:p w14:paraId="28417EA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Tak</w:t>
            </w:r>
          </w:p>
        </w:tc>
        <w:tc>
          <w:tcPr>
            <w:tcW w:w="1426" w:type="dxa"/>
            <w:tcBorders>
              <w:top w:val="single" w:sz="4" w:space="0" w:color="auto"/>
              <w:left w:val="single" w:sz="4" w:space="0" w:color="auto"/>
              <w:bottom w:val="single" w:sz="4" w:space="0" w:color="auto"/>
              <w:right w:val="single" w:sz="4" w:space="0" w:color="auto"/>
            </w:tcBorders>
          </w:tcPr>
          <w:p w14:paraId="73A52E5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Tak</w:t>
            </w:r>
          </w:p>
        </w:tc>
        <w:tc>
          <w:tcPr>
            <w:tcW w:w="1426" w:type="dxa"/>
            <w:tcBorders>
              <w:top w:val="single" w:sz="4" w:space="0" w:color="auto"/>
              <w:left w:val="single" w:sz="4" w:space="0" w:color="auto"/>
              <w:bottom w:val="single" w:sz="4" w:space="0" w:color="auto"/>
              <w:right w:val="single" w:sz="4" w:space="0" w:color="auto"/>
            </w:tcBorders>
          </w:tcPr>
          <w:p w14:paraId="22F0106F"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Tak</w:t>
            </w:r>
          </w:p>
        </w:tc>
        <w:tc>
          <w:tcPr>
            <w:tcW w:w="1426" w:type="dxa"/>
            <w:tcBorders>
              <w:top w:val="single" w:sz="4" w:space="0" w:color="auto"/>
              <w:left w:val="single" w:sz="4" w:space="0" w:color="auto"/>
              <w:bottom w:val="single" w:sz="4" w:space="0" w:color="auto"/>
              <w:right w:val="single" w:sz="4" w:space="0" w:color="auto"/>
            </w:tcBorders>
          </w:tcPr>
          <w:p w14:paraId="6EB32EC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Tak</w:t>
            </w:r>
          </w:p>
        </w:tc>
      </w:tr>
      <w:tr w:rsidR="004F003C" w:rsidRPr="00401930" w14:paraId="55FAFD4E" w14:textId="77777777">
        <w:tc>
          <w:tcPr>
            <w:tcW w:w="2183" w:type="dxa"/>
            <w:tcBorders>
              <w:top w:val="single" w:sz="4" w:space="0" w:color="auto"/>
              <w:left w:val="single" w:sz="4" w:space="0" w:color="auto"/>
              <w:bottom w:val="single" w:sz="4" w:space="0" w:color="auto"/>
              <w:right w:val="single" w:sz="4" w:space="0" w:color="auto"/>
            </w:tcBorders>
          </w:tcPr>
          <w:p w14:paraId="695A36D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Maksymalna obsługa zadłużenia (wg planu po III kwartale 2021) – średnia siedmioletnia w latach 2022-2025</w:t>
            </w:r>
          </w:p>
        </w:tc>
        <w:tc>
          <w:tcPr>
            <w:tcW w:w="1426" w:type="dxa"/>
            <w:tcBorders>
              <w:top w:val="single" w:sz="4" w:space="0" w:color="auto"/>
              <w:left w:val="single" w:sz="4" w:space="0" w:color="auto"/>
              <w:bottom w:val="single" w:sz="4" w:space="0" w:color="auto"/>
              <w:right w:val="single" w:sz="4" w:space="0" w:color="auto"/>
            </w:tcBorders>
          </w:tcPr>
          <w:p w14:paraId="44F778C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15,96%</w:t>
            </w:r>
          </w:p>
        </w:tc>
        <w:tc>
          <w:tcPr>
            <w:tcW w:w="1426" w:type="dxa"/>
            <w:tcBorders>
              <w:top w:val="single" w:sz="4" w:space="0" w:color="auto"/>
              <w:left w:val="single" w:sz="4" w:space="0" w:color="auto"/>
              <w:bottom w:val="single" w:sz="4" w:space="0" w:color="auto"/>
              <w:right w:val="single" w:sz="4" w:space="0" w:color="auto"/>
            </w:tcBorders>
          </w:tcPr>
          <w:p w14:paraId="64E04DF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14,78%</w:t>
            </w:r>
          </w:p>
        </w:tc>
        <w:tc>
          <w:tcPr>
            <w:tcW w:w="1426" w:type="dxa"/>
            <w:tcBorders>
              <w:top w:val="single" w:sz="4" w:space="0" w:color="auto"/>
              <w:left w:val="single" w:sz="4" w:space="0" w:color="auto"/>
              <w:bottom w:val="single" w:sz="4" w:space="0" w:color="auto"/>
              <w:right w:val="single" w:sz="4" w:space="0" w:color="auto"/>
            </w:tcBorders>
          </w:tcPr>
          <w:p w14:paraId="0C1CE6D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13,35%</w:t>
            </w:r>
          </w:p>
        </w:tc>
        <w:tc>
          <w:tcPr>
            <w:tcW w:w="1426" w:type="dxa"/>
            <w:tcBorders>
              <w:top w:val="single" w:sz="4" w:space="0" w:color="auto"/>
              <w:left w:val="single" w:sz="4" w:space="0" w:color="auto"/>
              <w:bottom w:val="single" w:sz="4" w:space="0" w:color="auto"/>
              <w:right w:val="single" w:sz="4" w:space="0" w:color="auto"/>
            </w:tcBorders>
          </w:tcPr>
          <w:p w14:paraId="4BD15AB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12,42%</w:t>
            </w:r>
          </w:p>
        </w:tc>
        <w:tc>
          <w:tcPr>
            <w:tcW w:w="1426" w:type="dxa"/>
            <w:tcBorders>
              <w:top w:val="single" w:sz="4" w:space="0" w:color="auto"/>
              <w:left w:val="single" w:sz="4" w:space="0" w:color="auto"/>
              <w:bottom w:val="single" w:sz="4" w:space="0" w:color="auto"/>
              <w:right w:val="single" w:sz="4" w:space="0" w:color="auto"/>
            </w:tcBorders>
          </w:tcPr>
          <w:p w14:paraId="3992F62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9,77%</w:t>
            </w:r>
          </w:p>
        </w:tc>
      </w:tr>
      <w:tr w:rsidR="004F003C" w:rsidRPr="00401930" w14:paraId="58DD2ED1" w14:textId="77777777">
        <w:tc>
          <w:tcPr>
            <w:tcW w:w="2183" w:type="dxa"/>
            <w:tcBorders>
              <w:top w:val="single" w:sz="4" w:space="0" w:color="auto"/>
              <w:left w:val="single" w:sz="4" w:space="0" w:color="auto"/>
              <w:bottom w:val="single" w:sz="4" w:space="0" w:color="auto"/>
              <w:right w:val="single" w:sz="4" w:space="0" w:color="auto"/>
            </w:tcBorders>
          </w:tcPr>
          <w:p w14:paraId="18D474D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 xml:space="preserve">Maksymalna obsługa </w:t>
            </w:r>
            <w:r w:rsidRPr="00401930">
              <w:rPr>
                <w:rFonts w:ascii="Arial Narrow" w:hAnsi="Arial Narrow" w:cs="Arial"/>
                <w:b/>
                <w:bCs/>
                <w:sz w:val="18"/>
                <w:szCs w:val="18"/>
              </w:rPr>
              <w:lastRenderedPageBreak/>
              <w:t>zadłużenia (wg przewidywanego wykonania 2021) – średnia siedmioletnia w latach 2022-2025</w:t>
            </w:r>
          </w:p>
        </w:tc>
        <w:tc>
          <w:tcPr>
            <w:tcW w:w="1426" w:type="dxa"/>
            <w:tcBorders>
              <w:top w:val="single" w:sz="4" w:space="0" w:color="auto"/>
              <w:left w:val="single" w:sz="4" w:space="0" w:color="auto"/>
              <w:bottom w:val="single" w:sz="4" w:space="0" w:color="auto"/>
              <w:right w:val="single" w:sz="4" w:space="0" w:color="auto"/>
            </w:tcBorders>
          </w:tcPr>
          <w:p w14:paraId="2992942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lastRenderedPageBreak/>
              <w:t>16,29%</w:t>
            </w:r>
          </w:p>
        </w:tc>
        <w:tc>
          <w:tcPr>
            <w:tcW w:w="1426" w:type="dxa"/>
            <w:tcBorders>
              <w:top w:val="single" w:sz="4" w:space="0" w:color="auto"/>
              <w:left w:val="single" w:sz="4" w:space="0" w:color="auto"/>
              <w:bottom w:val="single" w:sz="4" w:space="0" w:color="auto"/>
              <w:right w:val="single" w:sz="4" w:space="0" w:color="auto"/>
            </w:tcBorders>
          </w:tcPr>
          <w:p w14:paraId="774B4DC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15,11%</w:t>
            </w:r>
          </w:p>
        </w:tc>
        <w:tc>
          <w:tcPr>
            <w:tcW w:w="1426" w:type="dxa"/>
            <w:tcBorders>
              <w:top w:val="single" w:sz="4" w:space="0" w:color="auto"/>
              <w:left w:val="single" w:sz="4" w:space="0" w:color="auto"/>
              <w:bottom w:val="single" w:sz="4" w:space="0" w:color="auto"/>
              <w:right w:val="single" w:sz="4" w:space="0" w:color="auto"/>
            </w:tcBorders>
          </w:tcPr>
          <w:p w14:paraId="1EF487F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13,68%</w:t>
            </w:r>
          </w:p>
        </w:tc>
        <w:tc>
          <w:tcPr>
            <w:tcW w:w="1426" w:type="dxa"/>
            <w:tcBorders>
              <w:top w:val="single" w:sz="4" w:space="0" w:color="auto"/>
              <w:left w:val="single" w:sz="4" w:space="0" w:color="auto"/>
              <w:bottom w:val="single" w:sz="4" w:space="0" w:color="auto"/>
              <w:right w:val="single" w:sz="4" w:space="0" w:color="auto"/>
            </w:tcBorders>
          </w:tcPr>
          <w:p w14:paraId="260FF3B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12,76%</w:t>
            </w:r>
          </w:p>
        </w:tc>
        <w:tc>
          <w:tcPr>
            <w:tcW w:w="1426" w:type="dxa"/>
            <w:tcBorders>
              <w:top w:val="single" w:sz="4" w:space="0" w:color="auto"/>
              <w:left w:val="single" w:sz="4" w:space="0" w:color="auto"/>
              <w:bottom w:val="single" w:sz="4" w:space="0" w:color="auto"/>
              <w:right w:val="single" w:sz="4" w:space="0" w:color="auto"/>
            </w:tcBorders>
          </w:tcPr>
          <w:p w14:paraId="4D05215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9,56%</w:t>
            </w:r>
          </w:p>
        </w:tc>
      </w:tr>
      <w:tr w:rsidR="004F003C" w:rsidRPr="00401930" w14:paraId="6F3D5C9E" w14:textId="77777777">
        <w:tc>
          <w:tcPr>
            <w:tcW w:w="2183" w:type="dxa"/>
            <w:tcBorders>
              <w:top w:val="single" w:sz="4" w:space="0" w:color="auto"/>
              <w:left w:val="single" w:sz="4" w:space="0" w:color="auto"/>
              <w:bottom w:val="single" w:sz="4" w:space="0" w:color="auto"/>
              <w:right w:val="single" w:sz="4" w:space="0" w:color="auto"/>
            </w:tcBorders>
          </w:tcPr>
          <w:p w14:paraId="3859FFD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20"/>
                <w:szCs w:val="20"/>
              </w:rPr>
            </w:pPr>
            <w:r w:rsidRPr="00401930">
              <w:rPr>
                <w:rFonts w:ascii="Arial Narrow" w:hAnsi="Arial Narrow" w:cs="Arial"/>
                <w:b/>
                <w:bCs/>
                <w:sz w:val="20"/>
                <w:szCs w:val="20"/>
              </w:rPr>
              <w:t>Zachowanie relacji z art. 243 (w oparciu o przewidywane wykonanie) – średnia siedmioletnia w latach 2022-2025</w:t>
            </w:r>
          </w:p>
        </w:tc>
        <w:tc>
          <w:tcPr>
            <w:tcW w:w="1426" w:type="dxa"/>
            <w:tcBorders>
              <w:top w:val="single" w:sz="4" w:space="0" w:color="auto"/>
              <w:left w:val="single" w:sz="4" w:space="0" w:color="auto"/>
              <w:bottom w:val="single" w:sz="4" w:space="0" w:color="auto"/>
              <w:right w:val="single" w:sz="4" w:space="0" w:color="auto"/>
            </w:tcBorders>
          </w:tcPr>
          <w:p w14:paraId="6FB79A0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Tak</w:t>
            </w:r>
          </w:p>
        </w:tc>
        <w:tc>
          <w:tcPr>
            <w:tcW w:w="1426" w:type="dxa"/>
            <w:tcBorders>
              <w:top w:val="single" w:sz="4" w:space="0" w:color="auto"/>
              <w:left w:val="single" w:sz="4" w:space="0" w:color="auto"/>
              <w:bottom w:val="single" w:sz="4" w:space="0" w:color="auto"/>
              <w:right w:val="single" w:sz="4" w:space="0" w:color="auto"/>
            </w:tcBorders>
          </w:tcPr>
          <w:p w14:paraId="719C61E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Tak</w:t>
            </w:r>
          </w:p>
        </w:tc>
        <w:tc>
          <w:tcPr>
            <w:tcW w:w="1426" w:type="dxa"/>
            <w:tcBorders>
              <w:top w:val="single" w:sz="4" w:space="0" w:color="auto"/>
              <w:left w:val="single" w:sz="4" w:space="0" w:color="auto"/>
              <w:bottom w:val="single" w:sz="4" w:space="0" w:color="auto"/>
              <w:right w:val="single" w:sz="4" w:space="0" w:color="auto"/>
            </w:tcBorders>
          </w:tcPr>
          <w:p w14:paraId="176565E4"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Tak</w:t>
            </w:r>
          </w:p>
        </w:tc>
        <w:tc>
          <w:tcPr>
            <w:tcW w:w="1426" w:type="dxa"/>
            <w:tcBorders>
              <w:top w:val="single" w:sz="4" w:space="0" w:color="auto"/>
              <w:left w:val="single" w:sz="4" w:space="0" w:color="auto"/>
              <w:bottom w:val="single" w:sz="4" w:space="0" w:color="auto"/>
              <w:right w:val="single" w:sz="4" w:space="0" w:color="auto"/>
            </w:tcBorders>
          </w:tcPr>
          <w:p w14:paraId="2802968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Tak</w:t>
            </w:r>
          </w:p>
        </w:tc>
        <w:tc>
          <w:tcPr>
            <w:tcW w:w="1426" w:type="dxa"/>
            <w:tcBorders>
              <w:top w:val="single" w:sz="4" w:space="0" w:color="auto"/>
              <w:left w:val="single" w:sz="4" w:space="0" w:color="auto"/>
              <w:bottom w:val="single" w:sz="4" w:space="0" w:color="auto"/>
              <w:right w:val="single" w:sz="4" w:space="0" w:color="auto"/>
            </w:tcBorders>
          </w:tcPr>
          <w:p w14:paraId="0654689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Tak</w:t>
            </w:r>
          </w:p>
        </w:tc>
      </w:tr>
      <w:tr w:rsidR="004F003C" w:rsidRPr="00401930" w14:paraId="2FBB4B67" w14:textId="77777777">
        <w:tc>
          <w:tcPr>
            <w:tcW w:w="2183" w:type="dxa"/>
            <w:tcBorders>
              <w:top w:val="single" w:sz="4" w:space="0" w:color="auto"/>
              <w:left w:val="single" w:sz="4" w:space="0" w:color="auto"/>
              <w:bottom w:val="single" w:sz="4" w:space="0" w:color="auto"/>
              <w:right w:val="single" w:sz="4" w:space="0" w:color="auto"/>
            </w:tcBorders>
          </w:tcPr>
          <w:p w14:paraId="20170B9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p>
        </w:tc>
        <w:tc>
          <w:tcPr>
            <w:tcW w:w="1426" w:type="dxa"/>
            <w:tcBorders>
              <w:top w:val="single" w:sz="4" w:space="0" w:color="auto"/>
              <w:left w:val="single" w:sz="4" w:space="0" w:color="auto"/>
              <w:bottom w:val="single" w:sz="4" w:space="0" w:color="auto"/>
              <w:right w:val="single" w:sz="4" w:space="0" w:color="auto"/>
            </w:tcBorders>
            <w:vAlign w:val="bottom"/>
          </w:tcPr>
          <w:p w14:paraId="2F2472C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2027</w:t>
            </w:r>
          </w:p>
        </w:tc>
        <w:tc>
          <w:tcPr>
            <w:tcW w:w="1426" w:type="dxa"/>
            <w:tcBorders>
              <w:top w:val="single" w:sz="4" w:space="0" w:color="auto"/>
              <w:left w:val="single" w:sz="4" w:space="0" w:color="auto"/>
              <w:bottom w:val="single" w:sz="4" w:space="0" w:color="auto"/>
              <w:right w:val="single" w:sz="4" w:space="0" w:color="auto"/>
            </w:tcBorders>
            <w:vAlign w:val="bottom"/>
          </w:tcPr>
          <w:p w14:paraId="2454FF3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2028</w:t>
            </w:r>
          </w:p>
        </w:tc>
        <w:tc>
          <w:tcPr>
            <w:tcW w:w="1426" w:type="dxa"/>
            <w:tcBorders>
              <w:top w:val="single" w:sz="4" w:space="0" w:color="auto"/>
              <w:left w:val="single" w:sz="4" w:space="0" w:color="auto"/>
              <w:bottom w:val="single" w:sz="4" w:space="0" w:color="auto"/>
              <w:right w:val="single" w:sz="4" w:space="0" w:color="auto"/>
            </w:tcBorders>
            <w:vAlign w:val="bottom"/>
          </w:tcPr>
          <w:p w14:paraId="6BD075B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2029</w:t>
            </w:r>
          </w:p>
        </w:tc>
        <w:tc>
          <w:tcPr>
            <w:tcW w:w="1426" w:type="dxa"/>
            <w:tcBorders>
              <w:top w:val="single" w:sz="4" w:space="0" w:color="auto"/>
              <w:left w:val="single" w:sz="4" w:space="0" w:color="auto"/>
              <w:bottom w:val="single" w:sz="4" w:space="0" w:color="auto"/>
              <w:right w:val="single" w:sz="4" w:space="0" w:color="auto"/>
            </w:tcBorders>
            <w:vAlign w:val="bottom"/>
          </w:tcPr>
          <w:p w14:paraId="373FD96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2030</w:t>
            </w:r>
          </w:p>
        </w:tc>
        <w:tc>
          <w:tcPr>
            <w:tcW w:w="1426" w:type="dxa"/>
            <w:tcBorders>
              <w:top w:val="single" w:sz="4" w:space="0" w:color="auto"/>
              <w:left w:val="single" w:sz="4" w:space="0" w:color="auto"/>
              <w:bottom w:val="single" w:sz="4" w:space="0" w:color="auto"/>
              <w:right w:val="single" w:sz="4" w:space="0" w:color="auto"/>
            </w:tcBorders>
            <w:vAlign w:val="bottom"/>
          </w:tcPr>
          <w:p w14:paraId="2784E11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Narrow" w:hAnsi="Arial Narrow" w:cs="Arial"/>
                <w:sz w:val="20"/>
                <w:szCs w:val="20"/>
              </w:rPr>
            </w:pPr>
            <w:r w:rsidRPr="00401930">
              <w:rPr>
                <w:rFonts w:ascii="Arial Narrow" w:hAnsi="Arial Narrow" w:cs="Arial"/>
                <w:b/>
                <w:bCs/>
                <w:sz w:val="20"/>
                <w:szCs w:val="20"/>
              </w:rPr>
              <w:t>2031</w:t>
            </w:r>
          </w:p>
        </w:tc>
      </w:tr>
      <w:tr w:rsidR="004F003C" w:rsidRPr="00401930" w14:paraId="10A63212" w14:textId="77777777">
        <w:tc>
          <w:tcPr>
            <w:tcW w:w="2183" w:type="dxa"/>
            <w:tcBorders>
              <w:top w:val="single" w:sz="4" w:space="0" w:color="auto"/>
              <w:left w:val="single" w:sz="4" w:space="0" w:color="auto"/>
              <w:bottom w:val="single" w:sz="4" w:space="0" w:color="auto"/>
              <w:right w:val="single" w:sz="4" w:space="0" w:color="auto"/>
            </w:tcBorders>
          </w:tcPr>
          <w:p w14:paraId="3F487C6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Obsługa zadłużenia (fakt. i plan. po wyłączeniach)</w:t>
            </w:r>
          </w:p>
        </w:tc>
        <w:tc>
          <w:tcPr>
            <w:tcW w:w="1426" w:type="dxa"/>
            <w:tcBorders>
              <w:top w:val="single" w:sz="4" w:space="0" w:color="auto"/>
              <w:left w:val="single" w:sz="4" w:space="0" w:color="auto"/>
              <w:bottom w:val="single" w:sz="4" w:space="0" w:color="auto"/>
              <w:right w:val="single" w:sz="4" w:space="0" w:color="auto"/>
            </w:tcBorders>
          </w:tcPr>
          <w:p w14:paraId="5AD9F21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5,09%</w:t>
            </w:r>
          </w:p>
        </w:tc>
        <w:tc>
          <w:tcPr>
            <w:tcW w:w="1426" w:type="dxa"/>
            <w:tcBorders>
              <w:top w:val="single" w:sz="4" w:space="0" w:color="auto"/>
              <w:left w:val="single" w:sz="4" w:space="0" w:color="auto"/>
              <w:bottom w:val="single" w:sz="4" w:space="0" w:color="auto"/>
              <w:right w:val="single" w:sz="4" w:space="0" w:color="auto"/>
            </w:tcBorders>
          </w:tcPr>
          <w:p w14:paraId="7628E7F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3,68%</w:t>
            </w:r>
          </w:p>
        </w:tc>
        <w:tc>
          <w:tcPr>
            <w:tcW w:w="1426" w:type="dxa"/>
            <w:tcBorders>
              <w:top w:val="single" w:sz="4" w:space="0" w:color="auto"/>
              <w:left w:val="single" w:sz="4" w:space="0" w:color="auto"/>
              <w:bottom w:val="single" w:sz="4" w:space="0" w:color="auto"/>
              <w:right w:val="single" w:sz="4" w:space="0" w:color="auto"/>
            </w:tcBorders>
          </w:tcPr>
          <w:p w14:paraId="1A57F4D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3,47%</w:t>
            </w:r>
          </w:p>
        </w:tc>
        <w:tc>
          <w:tcPr>
            <w:tcW w:w="1426" w:type="dxa"/>
            <w:tcBorders>
              <w:top w:val="single" w:sz="4" w:space="0" w:color="auto"/>
              <w:left w:val="single" w:sz="4" w:space="0" w:color="auto"/>
              <w:bottom w:val="single" w:sz="4" w:space="0" w:color="auto"/>
              <w:right w:val="single" w:sz="4" w:space="0" w:color="auto"/>
            </w:tcBorders>
          </w:tcPr>
          <w:p w14:paraId="3B592E6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3,29%</w:t>
            </w:r>
          </w:p>
        </w:tc>
        <w:tc>
          <w:tcPr>
            <w:tcW w:w="1426" w:type="dxa"/>
            <w:tcBorders>
              <w:top w:val="single" w:sz="4" w:space="0" w:color="auto"/>
              <w:left w:val="single" w:sz="4" w:space="0" w:color="auto"/>
              <w:bottom w:val="single" w:sz="4" w:space="0" w:color="auto"/>
              <w:right w:val="single" w:sz="4" w:space="0" w:color="auto"/>
            </w:tcBorders>
          </w:tcPr>
          <w:p w14:paraId="675706A1"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3,13%</w:t>
            </w:r>
          </w:p>
        </w:tc>
      </w:tr>
      <w:tr w:rsidR="004F003C" w:rsidRPr="00401930" w14:paraId="39F9384D" w14:textId="77777777">
        <w:tc>
          <w:tcPr>
            <w:tcW w:w="2183" w:type="dxa"/>
            <w:tcBorders>
              <w:top w:val="single" w:sz="4" w:space="0" w:color="auto"/>
              <w:left w:val="single" w:sz="4" w:space="0" w:color="auto"/>
              <w:bottom w:val="single" w:sz="4" w:space="0" w:color="auto"/>
              <w:right w:val="single" w:sz="4" w:space="0" w:color="auto"/>
            </w:tcBorders>
          </w:tcPr>
          <w:p w14:paraId="52DB9F6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Maksymalna obsługa zadłużenia (wg planu po III kwartale 2021)</w:t>
            </w:r>
          </w:p>
        </w:tc>
        <w:tc>
          <w:tcPr>
            <w:tcW w:w="1426" w:type="dxa"/>
            <w:tcBorders>
              <w:top w:val="single" w:sz="4" w:space="0" w:color="auto"/>
              <w:left w:val="single" w:sz="4" w:space="0" w:color="auto"/>
              <w:bottom w:val="single" w:sz="4" w:space="0" w:color="auto"/>
              <w:right w:val="single" w:sz="4" w:space="0" w:color="auto"/>
            </w:tcBorders>
          </w:tcPr>
          <w:p w14:paraId="4E7E009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8,56%</w:t>
            </w:r>
          </w:p>
        </w:tc>
        <w:tc>
          <w:tcPr>
            <w:tcW w:w="1426" w:type="dxa"/>
            <w:tcBorders>
              <w:top w:val="single" w:sz="4" w:space="0" w:color="auto"/>
              <w:left w:val="single" w:sz="4" w:space="0" w:color="auto"/>
              <w:bottom w:val="single" w:sz="4" w:space="0" w:color="auto"/>
              <w:right w:val="single" w:sz="4" w:space="0" w:color="auto"/>
            </w:tcBorders>
          </w:tcPr>
          <w:p w14:paraId="52EA5F9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8,05%</w:t>
            </w:r>
          </w:p>
        </w:tc>
        <w:tc>
          <w:tcPr>
            <w:tcW w:w="1426" w:type="dxa"/>
            <w:tcBorders>
              <w:top w:val="single" w:sz="4" w:space="0" w:color="auto"/>
              <w:left w:val="single" w:sz="4" w:space="0" w:color="auto"/>
              <w:bottom w:val="single" w:sz="4" w:space="0" w:color="auto"/>
              <w:right w:val="single" w:sz="4" w:space="0" w:color="auto"/>
            </w:tcBorders>
          </w:tcPr>
          <w:p w14:paraId="0462654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8,65%</w:t>
            </w:r>
          </w:p>
        </w:tc>
        <w:tc>
          <w:tcPr>
            <w:tcW w:w="1426" w:type="dxa"/>
            <w:tcBorders>
              <w:top w:val="single" w:sz="4" w:space="0" w:color="auto"/>
              <w:left w:val="single" w:sz="4" w:space="0" w:color="auto"/>
              <w:bottom w:val="single" w:sz="4" w:space="0" w:color="auto"/>
              <w:right w:val="single" w:sz="4" w:space="0" w:color="auto"/>
            </w:tcBorders>
          </w:tcPr>
          <w:p w14:paraId="4DD2F49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10,05%</w:t>
            </w:r>
          </w:p>
        </w:tc>
        <w:tc>
          <w:tcPr>
            <w:tcW w:w="1426" w:type="dxa"/>
            <w:tcBorders>
              <w:top w:val="single" w:sz="4" w:space="0" w:color="auto"/>
              <w:left w:val="single" w:sz="4" w:space="0" w:color="auto"/>
              <w:bottom w:val="single" w:sz="4" w:space="0" w:color="auto"/>
              <w:right w:val="single" w:sz="4" w:space="0" w:color="auto"/>
            </w:tcBorders>
          </w:tcPr>
          <w:p w14:paraId="30FECC88"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10,86%</w:t>
            </w:r>
          </w:p>
        </w:tc>
      </w:tr>
      <w:tr w:rsidR="004F003C" w:rsidRPr="00401930" w14:paraId="2B86CD55" w14:textId="77777777">
        <w:tc>
          <w:tcPr>
            <w:tcW w:w="2183" w:type="dxa"/>
            <w:tcBorders>
              <w:top w:val="single" w:sz="4" w:space="0" w:color="auto"/>
              <w:left w:val="single" w:sz="4" w:space="0" w:color="auto"/>
              <w:bottom w:val="single" w:sz="4" w:space="0" w:color="auto"/>
              <w:right w:val="single" w:sz="4" w:space="0" w:color="auto"/>
            </w:tcBorders>
          </w:tcPr>
          <w:p w14:paraId="28F1B2F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Maksymalna obsługa zadłużenia (wg przewidywanego wykonania 2021)</w:t>
            </w:r>
          </w:p>
        </w:tc>
        <w:tc>
          <w:tcPr>
            <w:tcW w:w="1426" w:type="dxa"/>
            <w:tcBorders>
              <w:top w:val="single" w:sz="4" w:space="0" w:color="auto"/>
              <w:left w:val="single" w:sz="4" w:space="0" w:color="auto"/>
              <w:bottom w:val="single" w:sz="4" w:space="0" w:color="auto"/>
              <w:right w:val="single" w:sz="4" w:space="0" w:color="auto"/>
            </w:tcBorders>
          </w:tcPr>
          <w:p w14:paraId="5B6BBB7E"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8,35%</w:t>
            </w:r>
          </w:p>
        </w:tc>
        <w:tc>
          <w:tcPr>
            <w:tcW w:w="1426" w:type="dxa"/>
            <w:tcBorders>
              <w:top w:val="single" w:sz="4" w:space="0" w:color="auto"/>
              <w:left w:val="single" w:sz="4" w:space="0" w:color="auto"/>
              <w:bottom w:val="single" w:sz="4" w:space="0" w:color="auto"/>
              <w:right w:val="single" w:sz="4" w:space="0" w:color="auto"/>
            </w:tcBorders>
          </w:tcPr>
          <w:p w14:paraId="4F04C41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7,84%</w:t>
            </w:r>
          </w:p>
        </w:tc>
        <w:tc>
          <w:tcPr>
            <w:tcW w:w="1426" w:type="dxa"/>
            <w:tcBorders>
              <w:top w:val="single" w:sz="4" w:space="0" w:color="auto"/>
              <w:left w:val="single" w:sz="4" w:space="0" w:color="auto"/>
              <w:bottom w:val="single" w:sz="4" w:space="0" w:color="auto"/>
              <w:right w:val="single" w:sz="4" w:space="0" w:color="auto"/>
            </w:tcBorders>
          </w:tcPr>
          <w:p w14:paraId="04E36EB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8,65%</w:t>
            </w:r>
          </w:p>
        </w:tc>
        <w:tc>
          <w:tcPr>
            <w:tcW w:w="1426" w:type="dxa"/>
            <w:tcBorders>
              <w:top w:val="single" w:sz="4" w:space="0" w:color="auto"/>
              <w:left w:val="single" w:sz="4" w:space="0" w:color="auto"/>
              <w:bottom w:val="single" w:sz="4" w:space="0" w:color="auto"/>
              <w:right w:val="single" w:sz="4" w:space="0" w:color="auto"/>
            </w:tcBorders>
          </w:tcPr>
          <w:p w14:paraId="241C0DF9"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10,05%</w:t>
            </w:r>
          </w:p>
        </w:tc>
        <w:tc>
          <w:tcPr>
            <w:tcW w:w="1426" w:type="dxa"/>
            <w:tcBorders>
              <w:top w:val="single" w:sz="4" w:space="0" w:color="auto"/>
              <w:left w:val="single" w:sz="4" w:space="0" w:color="auto"/>
              <w:bottom w:val="single" w:sz="4" w:space="0" w:color="auto"/>
              <w:right w:val="single" w:sz="4" w:space="0" w:color="auto"/>
            </w:tcBorders>
          </w:tcPr>
          <w:p w14:paraId="6350BD9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10,86%</w:t>
            </w:r>
          </w:p>
        </w:tc>
      </w:tr>
      <w:tr w:rsidR="004F003C" w:rsidRPr="00401930" w14:paraId="05372A49" w14:textId="77777777">
        <w:tc>
          <w:tcPr>
            <w:tcW w:w="2183" w:type="dxa"/>
            <w:tcBorders>
              <w:top w:val="single" w:sz="4" w:space="0" w:color="auto"/>
              <w:left w:val="single" w:sz="4" w:space="0" w:color="auto"/>
              <w:bottom w:val="single" w:sz="4" w:space="0" w:color="auto"/>
              <w:right w:val="single" w:sz="4" w:space="0" w:color="auto"/>
            </w:tcBorders>
          </w:tcPr>
          <w:p w14:paraId="6D80108A"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Narrow" w:hAnsi="Arial Narrow" w:cs="Arial"/>
                <w:sz w:val="18"/>
                <w:szCs w:val="18"/>
              </w:rPr>
            </w:pPr>
            <w:r w:rsidRPr="00401930">
              <w:rPr>
                <w:rFonts w:ascii="Arial Narrow" w:hAnsi="Arial Narrow" w:cs="Arial"/>
                <w:b/>
                <w:bCs/>
                <w:sz w:val="18"/>
                <w:szCs w:val="18"/>
              </w:rPr>
              <w:t>Zachowanie relacji z art. 243 (w oparciu o przewidywane wykonanie)</w:t>
            </w:r>
          </w:p>
        </w:tc>
        <w:tc>
          <w:tcPr>
            <w:tcW w:w="1426" w:type="dxa"/>
            <w:tcBorders>
              <w:top w:val="single" w:sz="4" w:space="0" w:color="auto"/>
              <w:left w:val="single" w:sz="4" w:space="0" w:color="auto"/>
              <w:bottom w:val="single" w:sz="4" w:space="0" w:color="auto"/>
              <w:right w:val="single" w:sz="4" w:space="0" w:color="auto"/>
            </w:tcBorders>
          </w:tcPr>
          <w:p w14:paraId="65077617"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Tak</w:t>
            </w:r>
          </w:p>
        </w:tc>
        <w:tc>
          <w:tcPr>
            <w:tcW w:w="1426" w:type="dxa"/>
            <w:tcBorders>
              <w:top w:val="single" w:sz="4" w:space="0" w:color="auto"/>
              <w:left w:val="single" w:sz="4" w:space="0" w:color="auto"/>
              <w:bottom w:val="single" w:sz="4" w:space="0" w:color="auto"/>
              <w:right w:val="single" w:sz="4" w:space="0" w:color="auto"/>
            </w:tcBorders>
          </w:tcPr>
          <w:p w14:paraId="6A4A4936"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Tak</w:t>
            </w:r>
          </w:p>
        </w:tc>
        <w:tc>
          <w:tcPr>
            <w:tcW w:w="1426" w:type="dxa"/>
            <w:tcBorders>
              <w:top w:val="single" w:sz="4" w:space="0" w:color="auto"/>
              <w:left w:val="single" w:sz="4" w:space="0" w:color="auto"/>
              <w:bottom w:val="single" w:sz="4" w:space="0" w:color="auto"/>
              <w:right w:val="single" w:sz="4" w:space="0" w:color="auto"/>
            </w:tcBorders>
          </w:tcPr>
          <w:p w14:paraId="3EE79C4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Tak</w:t>
            </w:r>
          </w:p>
        </w:tc>
        <w:tc>
          <w:tcPr>
            <w:tcW w:w="1426" w:type="dxa"/>
            <w:tcBorders>
              <w:top w:val="single" w:sz="4" w:space="0" w:color="auto"/>
              <w:left w:val="single" w:sz="4" w:space="0" w:color="auto"/>
              <w:bottom w:val="single" w:sz="4" w:space="0" w:color="auto"/>
              <w:right w:val="single" w:sz="4" w:space="0" w:color="auto"/>
            </w:tcBorders>
          </w:tcPr>
          <w:p w14:paraId="5663D6DD"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Tak</w:t>
            </w:r>
          </w:p>
        </w:tc>
        <w:tc>
          <w:tcPr>
            <w:tcW w:w="1426" w:type="dxa"/>
            <w:tcBorders>
              <w:top w:val="single" w:sz="4" w:space="0" w:color="auto"/>
              <w:left w:val="single" w:sz="4" w:space="0" w:color="auto"/>
              <w:bottom w:val="single" w:sz="4" w:space="0" w:color="auto"/>
              <w:right w:val="single" w:sz="4" w:space="0" w:color="auto"/>
            </w:tcBorders>
          </w:tcPr>
          <w:p w14:paraId="4F36D285"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right"/>
              <w:rPr>
                <w:rFonts w:ascii="Arial Narrow" w:hAnsi="Arial Narrow" w:cs="Arial"/>
                <w:sz w:val="20"/>
                <w:szCs w:val="20"/>
              </w:rPr>
            </w:pPr>
            <w:r w:rsidRPr="00401930">
              <w:rPr>
                <w:rFonts w:ascii="Arial Narrow" w:hAnsi="Arial Narrow" w:cs="Arial"/>
                <w:sz w:val="20"/>
                <w:szCs w:val="20"/>
              </w:rPr>
              <w:t>Tak</w:t>
            </w:r>
          </w:p>
        </w:tc>
      </w:tr>
    </w:tbl>
    <w:p w14:paraId="305DF090"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sz w:val="16"/>
          <w:szCs w:val="16"/>
        </w:rPr>
      </w:pPr>
      <w:r w:rsidRPr="00401930">
        <w:rPr>
          <w:rFonts w:ascii="Arial Narrow" w:hAnsi="Arial Narrow" w:cs="Arial"/>
          <w:sz w:val="16"/>
          <w:szCs w:val="16"/>
        </w:rPr>
        <w:t>Źródło: Opracowanie własne.</w:t>
      </w:r>
    </w:p>
    <w:p w14:paraId="1EE28713"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Graficzne przedstawienie relacji prezentuje wykres poniżej.</w:t>
      </w:r>
    </w:p>
    <w:p w14:paraId="7364B7A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center"/>
        <w:rPr>
          <w:rFonts w:ascii="Arial Narrow" w:hAnsi="Arial Narrow" w:cs="Arial"/>
        </w:rPr>
      </w:pPr>
      <w:r w:rsidRPr="00401930">
        <w:rPr>
          <w:rFonts w:ascii="Arial Narrow" w:hAnsi="Arial Narrow" w:cs="Calibri"/>
          <w:noProof/>
          <w:sz w:val="24"/>
          <w:szCs w:val="24"/>
          <w:lang w:eastAsia="pl-PL"/>
        </w:rPr>
        <w:drawing>
          <wp:inline distT="0" distB="0" distL="0" distR="0" wp14:anchorId="2856CFEE" wp14:editId="2573986E">
            <wp:extent cx="5666105" cy="337058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666105" cy="3370580"/>
                    </a:xfrm>
                    <a:prstGeom prst="rect">
                      <a:avLst/>
                    </a:prstGeom>
                    <a:noFill/>
                    <a:ln w="9525">
                      <a:noFill/>
                      <a:miter lim="800000"/>
                      <a:headEnd/>
                      <a:tailEnd/>
                    </a:ln>
                  </pic:spPr>
                </pic:pic>
              </a:graphicData>
            </a:graphic>
          </wp:inline>
        </w:drawing>
      </w:r>
    </w:p>
    <w:p w14:paraId="79E71E2B"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jc w:val="both"/>
        <w:rPr>
          <w:rFonts w:ascii="Arial Narrow" w:hAnsi="Arial Narrow" w:cs="Arial"/>
        </w:rPr>
      </w:pPr>
      <w:r w:rsidRPr="00401930">
        <w:rPr>
          <w:rFonts w:ascii="Arial Narrow" w:hAnsi="Arial Narrow" w:cs="Arial"/>
        </w:rPr>
        <w:t>Sytuacja Powiatu Średzki jest stabilna. Powiat terminowo reguluje swoje zobowiązania, a w całym okresie prognozy zachowana zostanie zarówno nadwyżka bieżąca (art. 242), jak i relacja z art. 243 ustawy o finansach publicznych. Jednocześnie obecna sytuacja finansowa i sytuacja gospodarcza pozwala na spojrzenie w najbliższą przyszłość z dużą dozą ostrożności zwłaszc</w:t>
      </w:r>
      <w:r w:rsidR="00401930">
        <w:rPr>
          <w:rFonts w:ascii="Arial Narrow" w:hAnsi="Arial Narrow" w:cs="Arial"/>
        </w:rPr>
        <w:t>z</w:t>
      </w:r>
      <w:r w:rsidRPr="00401930">
        <w:rPr>
          <w:rFonts w:ascii="Arial Narrow" w:hAnsi="Arial Narrow" w:cs="Arial"/>
        </w:rPr>
        <w:t>a w kontekście wyznaczanych priorytetów inwestycyjnych oraz podjęcia decyzji o utworzeniu SPZOZ Średzkie Centrum Zdrowia.</w:t>
      </w:r>
    </w:p>
    <w:p w14:paraId="05C9E89D" w14:textId="77777777" w:rsidR="00675284" w:rsidRDefault="00675284" w:rsidP="00675284"/>
    <w:p w14:paraId="2DED916C" w14:textId="77777777" w:rsidR="00675284" w:rsidRDefault="00675284" w:rsidP="00675284">
      <w:pPr>
        <w:spacing w:after="0"/>
        <w:jc w:val="right"/>
        <w:rPr>
          <w:rFonts w:ascii="Arial" w:hAnsi="Arial" w:cs="Arial"/>
        </w:rPr>
      </w:pPr>
      <w:r>
        <w:rPr>
          <w:rFonts w:ascii="Arial" w:eastAsia="+mn-ea" w:hAnsi="Arial" w:cs="Arial"/>
          <w:b/>
          <w:bCs/>
          <w:color w:val="000000"/>
        </w:rPr>
        <w:t>Podpisane przez:</w:t>
      </w:r>
    </w:p>
    <w:p w14:paraId="0DF0B387" w14:textId="77777777" w:rsidR="00675284" w:rsidRDefault="00675284" w:rsidP="00675284">
      <w:pPr>
        <w:spacing w:after="0"/>
        <w:jc w:val="right"/>
        <w:rPr>
          <w:rFonts w:ascii="Arial" w:hAnsi="Arial" w:cs="Arial"/>
        </w:rPr>
      </w:pPr>
      <w:r>
        <w:rPr>
          <w:rFonts w:ascii="Arial" w:eastAsia="+mn-ea" w:hAnsi="Arial" w:cs="Arial"/>
          <w:b/>
          <w:bCs/>
          <w:color w:val="000000"/>
        </w:rPr>
        <w:t xml:space="preserve"> Krzysztof Szałankiewicz– Starosta Powiatu Średzkiego</w:t>
      </w:r>
    </w:p>
    <w:p w14:paraId="66240CF8" w14:textId="77777777" w:rsidR="00675284" w:rsidRDefault="00675284" w:rsidP="00675284">
      <w:pPr>
        <w:spacing w:after="0"/>
        <w:jc w:val="right"/>
        <w:rPr>
          <w:rFonts w:ascii="Arial" w:hAnsi="Arial" w:cs="Arial"/>
        </w:rPr>
      </w:pPr>
      <w:r>
        <w:rPr>
          <w:rFonts w:ascii="Arial" w:eastAsia="+mn-ea" w:hAnsi="Arial" w:cs="Arial"/>
          <w:b/>
          <w:bCs/>
          <w:color w:val="000000"/>
        </w:rPr>
        <w:t>Sebastian Burdzy- Wicestarosta Powiatu Średzkiego</w:t>
      </w:r>
    </w:p>
    <w:p w14:paraId="10127883" w14:textId="77777777" w:rsidR="00675284" w:rsidRDefault="00675284" w:rsidP="00675284">
      <w:pPr>
        <w:spacing w:after="0"/>
        <w:jc w:val="right"/>
        <w:rPr>
          <w:rFonts w:ascii="Arial" w:hAnsi="Arial" w:cs="Arial"/>
        </w:rPr>
      </w:pPr>
      <w:r>
        <w:rPr>
          <w:rFonts w:ascii="Arial" w:eastAsia="+mn-ea" w:hAnsi="Arial" w:cs="Arial"/>
          <w:b/>
          <w:bCs/>
          <w:color w:val="000000"/>
        </w:rPr>
        <w:t xml:space="preserve">Józef </w:t>
      </w:r>
      <w:proofErr w:type="spellStart"/>
      <w:r>
        <w:rPr>
          <w:rFonts w:ascii="Arial" w:eastAsia="+mn-ea" w:hAnsi="Arial" w:cs="Arial"/>
          <w:b/>
          <w:bCs/>
          <w:color w:val="000000"/>
        </w:rPr>
        <w:t>Chabraszewski</w:t>
      </w:r>
      <w:proofErr w:type="spellEnd"/>
      <w:r>
        <w:rPr>
          <w:rFonts w:ascii="Arial" w:eastAsia="+mn-ea" w:hAnsi="Arial" w:cs="Arial"/>
          <w:b/>
          <w:bCs/>
          <w:color w:val="000000"/>
        </w:rPr>
        <w:t xml:space="preserve"> – członek Zarządu  </w:t>
      </w:r>
    </w:p>
    <w:p w14:paraId="2FA5FB14" w14:textId="77777777" w:rsidR="00675284" w:rsidRDefault="00675284" w:rsidP="00675284">
      <w:pPr>
        <w:spacing w:after="0"/>
        <w:jc w:val="right"/>
        <w:rPr>
          <w:rFonts w:ascii="Arial" w:hAnsi="Arial" w:cs="Arial"/>
        </w:rPr>
      </w:pPr>
      <w:r>
        <w:rPr>
          <w:rFonts w:ascii="Arial" w:eastAsia="+mn-ea" w:hAnsi="Arial" w:cs="Arial"/>
          <w:b/>
          <w:bCs/>
          <w:color w:val="000000"/>
        </w:rPr>
        <w:t>Czesław Kaczmarek – członek Zarządu</w:t>
      </w:r>
    </w:p>
    <w:p w14:paraId="0D9DFEAB" w14:textId="77777777" w:rsidR="00675284" w:rsidRDefault="00675284" w:rsidP="00675284">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right"/>
        <w:rPr>
          <w:rFonts w:ascii="Arial" w:hAnsi="Arial" w:cs="Arial"/>
        </w:rPr>
      </w:pPr>
      <w:r>
        <w:rPr>
          <w:rFonts w:ascii="Arial" w:eastAsia="+mn-ea" w:hAnsi="Arial" w:cs="Arial"/>
          <w:b/>
          <w:bCs/>
          <w:color w:val="000000"/>
        </w:rPr>
        <w:t xml:space="preserve">Grzegorz </w:t>
      </w:r>
      <w:proofErr w:type="spellStart"/>
      <w:r>
        <w:rPr>
          <w:rFonts w:ascii="Arial" w:eastAsia="+mn-ea" w:hAnsi="Arial" w:cs="Arial"/>
          <w:b/>
          <w:bCs/>
          <w:color w:val="000000"/>
        </w:rPr>
        <w:t>Pierzchalski</w:t>
      </w:r>
      <w:proofErr w:type="spellEnd"/>
      <w:r>
        <w:rPr>
          <w:rFonts w:ascii="Arial" w:eastAsia="+mn-ea" w:hAnsi="Arial" w:cs="Arial"/>
          <w:b/>
          <w:bCs/>
          <w:color w:val="000000"/>
        </w:rPr>
        <w:t xml:space="preserve"> – członek Zarządu</w:t>
      </w:r>
    </w:p>
    <w:p w14:paraId="013F95C8" w14:textId="77777777" w:rsidR="00675284" w:rsidRDefault="00675284" w:rsidP="00675284"/>
    <w:p w14:paraId="327D4BFC" w14:textId="77777777" w:rsidR="004F003C" w:rsidRPr="00401930" w:rsidRDefault="004F003C" w:rsidP="004F00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240" w:lineRule="auto"/>
        <w:rPr>
          <w:rFonts w:ascii="Arial Narrow" w:hAnsi="Arial Narrow" w:cs="Arial"/>
        </w:rPr>
      </w:pPr>
    </w:p>
    <w:p w14:paraId="0BD8DFD6" w14:textId="77777777" w:rsidR="00856DDF" w:rsidRPr="00401930" w:rsidRDefault="00856DDF">
      <w:pPr>
        <w:rPr>
          <w:rFonts w:ascii="Arial Narrow" w:hAnsi="Arial Narrow"/>
        </w:rPr>
      </w:pPr>
    </w:p>
    <w:sectPr w:rsidR="00856DDF" w:rsidRPr="00401930" w:rsidSect="00444119">
      <w:pgSz w:w="12240" w:h="15840"/>
      <w:pgMar w:top="1440" w:right="1800" w:bottom="1440" w:left="1800"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mn-ea">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3C"/>
    <w:rsid w:val="003116D1"/>
    <w:rsid w:val="00401930"/>
    <w:rsid w:val="00442454"/>
    <w:rsid w:val="004F003C"/>
    <w:rsid w:val="00675284"/>
    <w:rsid w:val="00856DDF"/>
    <w:rsid w:val="00E82F1C"/>
    <w:rsid w:val="00E8535A"/>
    <w:rsid w:val="00EC3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E660"/>
  <w15:docId w15:val="{D399FAD6-C28D-45F1-8CF8-BDB5AD61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DD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00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0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6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theme" Target="theme/theme1.xml"/><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2508</Words>
  <Characters>15049</Characters>
  <Application>Microsoft Office Word</Application>
  <DocSecurity>0</DocSecurity>
  <Lines>125</Lines>
  <Paragraphs>35</Paragraphs>
  <ScaleCrop>false</ScaleCrop>
  <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Jasia</dc:creator>
  <cp:keywords/>
  <dc:description/>
  <cp:lastModifiedBy>Madzia</cp:lastModifiedBy>
  <cp:revision>2</cp:revision>
  <cp:lastPrinted>2021-11-12T11:04:00Z</cp:lastPrinted>
  <dcterms:created xsi:type="dcterms:W3CDTF">2021-11-15T14:03:00Z</dcterms:created>
  <dcterms:modified xsi:type="dcterms:W3CDTF">2021-11-15T14:03:00Z</dcterms:modified>
</cp:coreProperties>
</file>