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17" w:rsidRPr="00596B17" w:rsidRDefault="00CF456C" w:rsidP="00596B17">
      <w:pPr>
        <w:pStyle w:val="Bezodstpw"/>
        <w:jc w:val="right"/>
        <w:rPr>
          <w:b/>
          <w:sz w:val="32"/>
          <w:szCs w:val="32"/>
        </w:rPr>
      </w:pPr>
      <w:r w:rsidRPr="00596B17">
        <w:rPr>
          <w:b/>
          <w:sz w:val="32"/>
          <w:szCs w:val="32"/>
        </w:rPr>
        <w:t xml:space="preserve">Załącznik </w:t>
      </w:r>
      <w:r w:rsidR="00596B17" w:rsidRPr="00596B17">
        <w:rPr>
          <w:b/>
          <w:sz w:val="32"/>
          <w:szCs w:val="32"/>
        </w:rPr>
        <w:t xml:space="preserve">nr </w:t>
      </w:r>
      <w:r w:rsidR="004F0891">
        <w:rPr>
          <w:b/>
          <w:sz w:val="32"/>
          <w:szCs w:val="32"/>
        </w:rPr>
        <w:t>8</w:t>
      </w:r>
    </w:p>
    <w:p w:rsidR="007D629E" w:rsidRPr="00596B17" w:rsidRDefault="00596B17" w:rsidP="00596B17">
      <w:pPr>
        <w:pStyle w:val="Bezodstpw"/>
        <w:jc w:val="right"/>
        <w:rPr>
          <w:b/>
          <w:sz w:val="32"/>
          <w:szCs w:val="32"/>
        </w:rPr>
      </w:pPr>
      <w:r w:rsidRPr="00596B17">
        <w:rPr>
          <w:b/>
          <w:sz w:val="32"/>
          <w:szCs w:val="32"/>
        </w:rPr>
        <w:t>do SIWZ</w:t>
      </w:r>
    </w:p>
    <w:p w:rsidR="00596B17" w:rsidRPr="006E5BCF" w:rsidRDefault="00596B17" w:rsidP="00CF456C">
      <w:pPr>
        <w:jc w:val="right"/>
        <w:rPr>
          <w:b/>
        </w:rPr>
      </w:pPr>
    </w:p>
    <w:p w:rsidR="00CF456C" w:rsidRDefault="001267F5" w:rsidP="00CF456C">
      <w:pPr>
        <w:pStyle w:val="Bezodstpw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SZCZEGÓLOWY </w:t>
      </w:r>
      <w:r w:rsidR="00CF456C" w:rsidRPr="006E5BCF">
        <w:rPr>
          <w:b/>
        </w:rPr>
        <w:t>OPIS PRZEDMIOTU ZAMÓWIENIA</w:t>
      </w:r>
    </w:p>
    <w:p w:rsidR="001267F5" w:rsidRPr="006E5BCF" w:rsidRDefault="001267F5" w:rsidP="00CF456C">
      <w:pPr>
        <w:pStyle w:val="Bezodstpw"/>
        <w:jc w:val="center"/>
        <w:rPr>
          <w:b/>
        </w:rPr>
      </w:pPr>
    </w:p>
    <w:p w:rsidR="00CF456C" w:rsidRDefault="00CF456C" w:rsidP="00CF456C">
      <w:r>
        <w:t>Przedmiotem zamówienia jest wykonanie badań gleb na obszarach użytkowanych rolniczo, w obrębach (miejscowości</w:t>
      </w:r>
      <w:r w:rsidR="00ED6C2A">
        <w:t>ach) położonych na terenie gmin</w:t>
      </w:r>
      <w:r>
        <w:t xml:space="preserve"> powiatu </w:t>
      </w:r>
      <w:r w:rsidR="00E90B6D">
        <w:t>średzkiego</w:t>
      </w:r>
      <w:r>
        <w:t>.</w:t>
      </w:r>
    </w:p>
    <w:p w:rsidR="00CF456C" w:rsidRDefault="00CF456C" w:rsidP="00CF456C">
      <w:r>
        <w:t>Badania te powinny dać rozpoznawczą informację o stanie jakości gleb, pod kątem zawartości w nich metali ciężkich i siarki. Winny również dać podstawę do podejmowania decyzji i działań, których skutkiem będzie ochrona gleb i roślin, zgodnie z obowiązującymi w Polsce aktami prawnymi (ustawami i rozporządzeniami).</w:t>
      </w:r>
    </w:p>
    <w:p w:rsidR="00CF456C" w:rsidRDefault="00CF456C" w:rsidP="00CF456C">
      <w:pPr>
        <w:pStyle w:val="Akapitzlist"/>
        <w:numPr>
          <w:ilvl w:val="0"/>
          <w:numId w:val="1"/>
        </w:numPr>
        <w:rPr>
          <w:b/>
        </w:rPr>
      </w:pPr>
      <w:r w:rsidRPr="00CF456C">
        <w:rPr>
          <w:b/>
        </w:rPr>
        <w:t>Nazwa zadania: Wykonanie badań gleb i płodów rolnych na obszarze powiatu średzkiego</w:t>
      </w:r>
    </w:p>
    <w:p w:rsidR="00CF456C" w:rsidRDefault="00CF456C" w:rsidP="00CF456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Cel badań</w:t>
      </w:r>
    </w:p>
    <w:p w:rsidR="00CF456C" w:rsidRDefault="00CF456C" w:rsidP="00CF456C">
      <w:r>
        <w:t>Badania gleb wykonane w obszarze powiatu średzkiego winny dać informacje i podstawę do: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rozpoznania aktualnego poziomu zawartości metali ciężkich i siarki siarczanowej w glebach użytkowanych rolniczo, w wytypowanych metodycznie obrębach,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określenia przestrzennej zmienności zawartości badanych parametrów (metale, siarka),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określeni</w:t>
      </w:r>
      <w:r w:rsidR="00E90B6D">
        <w:t>a</w:t>
      </w:r>
      <w:r>
        <w:t xml:space="preserve"> wpływu na jakość gleb potencjalnych źródeł emisji zanieczyszczeń przez obiekty związane z produkcją przemysłową i składowaniem odpadów,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przedstawieni</w:t>
      </w:r>
      <w:r w:rsidR="00E90B6D">
        <w:t>a</w:t>
      </w:r>
      <w:r>
        <w:t xml:space="preserve"> graficzne uzyskanych wyników badań,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podejmowani</w:t>
      </w:r>
      <w:r w:rsidR="00E90B6D">
        <w:t>a</w:t>
      </w:r>
      <w:r>
        <w:t xml:space="preserve"> decyzji, których celem i skutkiem będzie minimalizacja i likwidacja ujemnych następstw zanieczyszczenia gleb i roślin,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opracowani</w:t>
      </w:r>
      <w:r w:rsidR="00E90B6D">
        <w:t>a</w:t>
      </w:r>
      <w:r>
        <w:t xml:space="preserve"> Raportu z badań (syntezy) z wnioskami i zaleceniami, uwzględniającego zapisy </w:t>
      </w:r>
      <w:r w:rsidR="0071157A">
        <w:t>i zobowiązania wynikające z Ustawy o ochronie gruntów rolnych i leśnych, Ustawy – Prawo Ochrony Środowiska i z innych aktów prawnych.</w:t>
      </w:r>
    </w:p>
    <w:p w:rsidR="0071157A" w:rsidRDefault="0071157A" w:rsidP="0071157A">
      <w:r>
        <w:t>W zleconym zadaniu Wykonawca zobowiązany będzie do dokonania charakterystyki gleb powiatu średzkiego, uwzględniając niżej wymienione kryteria:</w:t>
      </w:r>
    </w:p>
    <w:p w:rsidR="0071157A" w:rsidRDefault="0071157A" w:rsidP="0071157A">
      <w:pPr>
        <w:pStyle w:val="Akapitzlist"/>
        <w:numPr>
          <w:ilvl w:val="0"/>
          <w:numId w:val="3"/>
        </w:numPr>
      </w:pPr>
      <w:r>
        <w:t>typy gleb,</w:t>
      </w:r>
    </w:p>
    <w:p w:rsidR="0071157A" w:rsidRDefault="0071157A" w:rsidP="0071157A">
      <w:pPr>
        <w:pStyle w:val="Akapitzlist"/>
        <w:numPr>
          <w:ilvl w:val="0"/>
          <w:numId w:val="3"/>
        </w:numPr>
      </w:pPr>
      <w:r>
        <w:t>kompleksy rolniczej przydatności,</w:t>
      </w:r>
    </w:p>
    <w:p w:rsidR="0071157A" w:rsidRDefault="0071157A" w:rsidP="0071157A">
      <w:pPr>
        <w:pStyle w:val="Akapitzlist"/>
        <w:numPr>
          <w:ilvl w:val="0"/>
          <w:numId w:val="3"/>
        </w:numPr>
      </w:pPr>
      <w:r>
        <w:lastRenderedPageBreak/>
        <w:t>klasy bonitacyjne,</w:t>
      </w:r>
    </w:p>
    <w:p w:rsidR="0071157A" w:rsidRDefault="0071157A" w:rsidP="0071157A">
      <w:pPr>
        <w:pStyle w:val="Akapitzlist"/>
        <w:numPr>
          <w:ilvl w:val="0"/>
          <w:numId w:val="3"/>
        </w:numPr>
      </w:pPr>
      <w:r>
        <w:t>wskaźnik wa</w:t>
      </w:r>
      <w:r w:rsidR="009A2EA1">
        <w:t>loryzacji rolniczej przestrzeni produkcyjnej,</w:t>
      </w:r>
    </w:p>
    <w:p w:rsidR="009A2EA1" w:rsidRDefault="009A2EA1" w:rsidP="0071157A">
      <w:pPr>
        <w:pStyle w:val="Akapitzlist"/>
        <w:numPr>
          <w:ilvl w:val="0"/>
          <w:numId w:val="3"/>
        </w:numPr>
      </w:pPr>
      <w:r>
        <w:t>erozję wodną i wietrzną gleb,</w:t>
      </w:r>
    </w:p>
    <w:p w:rsidR="009A2EA1" w:rsidRDefault="009A2EA1" w:rsidP="0071157A">
      <w:pPr>
        <w:pStyle w:val="Akapitzlist"/>
        <w:numPr>
          <w:ilvl w:val="0"/>
          <w:numId w:val="3"/>
        </w:numPr>
      </w:pPr>
      <w:r>
        <w:t>zawartość materii organicznej,</w:t>
      </w:r>
    </w:p>
    <w:p w:rsidR="009A2EA1" w:rsidRDefault="009A2EA1" w:rsidP="0071157A">
      <w:pPr>
        <w:pStyle w:val="Akapitzlist"/>
        <w:numPr>
          <w:ilvl w:val="0"/>
          <w:numId w:val="3"/>
        </w:numPr>
      </w:pPr>
      <w:r>
        <w:t>zakwaszenie gleb,</w:t>
      </w:r>
    </w:p>
    <w:p w:rsidR="009A2EA1" w:rsidRDefault="009A2EA1" w:rsidP="0071157A">
      <w:pPr>
        <w:pStyle w:val="Akapitzlist"/>
        <w:numPr>
          <w:ilvl w:val="0"/>
          <w:numId w:val="3"/>
        </w:numPr>
      </w:pPr>
      <w:r>
        <w:t>zawartość przyswajalnych form fosforu, potasu i magnezu.</w:t>
      </w:r>
    </w:p>
    <w:p w:rsidR="009A2EA1" w:rsidRDefault="009A2EA1" w:rsidP="009A2EA1"/>
    <w:p w:rsidR="009A2EA1" w:rsidRDefault="009A2EA1" w:rsidP="009A2EA1">
      <w:pPr>
        <w:pStyle w:val="Akapitzlist"/>
        <w:numPr>
          <w:ilvl w:val="0"/>
          <w:numId w:val="1"/>
        </w:numPr>
        <w:rPr>
          <w:b/>
        </w:rPr>
      </w:pPr>
      <w:r w:rsidRPr="009A2EA1">
        <w:rPr>
          <w:b/>
        </w:rPr>
        <w:t xml:space="preserve">Zakres ilościowy i </w:t>
      </w:r>
      <w:r>
        <w:rPr>
          <w:b/>
        </w:rPr>
        <w:t>analityczny prób glebowych</w:t>
      </w:r>
    </w:p>
    <w:p w:rsidR="009A2EA1" w:rsidRDefault="009A2EA1" w:rsidP="009A2EA1">
      <w:r w:rsidRPr="009A2EA1">
        <w:t>Iloś</w:t>
      </w:r>
      <w:r>
        <w:t>ć prób glebowych oraz ilościowy zakres analityczny w pobranych prób</w:t>
      </w:r>
      <w:r w:rsidR="00E90B6D">
        <w:t>ach</w:t>
      </w:r>
      <w:r>
        <w:t xml:space="preserve"> wyszczególniono w poniższych zestawieniu.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A2EA1" w:rsidTr="009A2EA1">
        <w:tc>
          <w:tcPr>
            <w:tcW w:w="4606" w:type="dxa"/>
          </w:tcPr>
          <w:p w:rsidR="009A2EA1" w:rsidRPr="00B6307B" w:rsidRDefault="009A2EA1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t>Zakres analityczny</w:t>
            </w:r>
          </w:p>
        </w:tc>
        <w:tc>
          <w:tcPr>
            <w:tcW w:w="4606" w:type="dxa"/>
          </w:tcPr>
          <w:p w:rsidR="009A2EA1" w:rsidRPr="00B6307B" w:rsidRDefault="009A2EA1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t>Ilość prób</w:t>
            </w:r>
          </w:p>
        </w:tc>
      </w:tr>
      <w:tr w:rsidR="009A2EA1" w:rsidTr="009A2EA1">
        <w:tc>
          <w:tcPr>
            <w:tcW w:w="4606" w:type="dxa"/>
          </w:tcPr>
          <w:p w:rsidR="009A2EA1" w:rsidRDefault="009A2EA1" w:rsidP="009A2EA1">
            <w:pPr>
              <w:pStyle w:val="Bezodstpw"/>
            </w:pPr>
            <w:r>
              <w:t>Skład granulometryczny</w:t>
            </w:r>
          </w:p>
        </w:tc>
        <w:tc>
          <w:tcPr>
            <w:tcW w:w="4606" w:type="dxa"/>
          </w:tcPr>
          <w:p w:rsidR="009A2EA1" w:rsidRDefault="009A2EA1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9A2EA1" w:rsidTr="009A2EA1">
        <w:tc>
          <w:tcPr>
            <w:tcW w:w="4606" w:type="dxa"/>
          </w:tcPr>
          <w:p w:rsidR="009A2EA1" w:rsidRDefault="009A2EA1" w:rsidP="009A2EA1">
            <w:pPr>
              <w:pStyle w:val="Bezodstpw"/>
            </w:pPr>
            <w:r>
              <w:t xml:space="preserve">Zakwaszenie – </w:t>
            </w:r>
            <w:proofErr w:type="spellStart"/>
            <w:r>
              <w:t>pH</w:t>
            </w:r>
            <w:proofErr w:type="spellEnd"/>
          </w:p>
        </w:tc>
        <w:tc>
          <w:tcPr>
            <w:tcW w:w="4606" w:type="dxa"/>
          </w:tcPr>
          <w:p w:rsidR="009A2EA1" w:rsidRDefault="009A2EA1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6E5BCF">
        <w:tc>
          <w:tcPr>
            <w:tcW w:w="9212" w:type="dxa"/>
            <w:gridSpan w:val="2"/>
          </w:tcPr>
          <w:p w:rsidR="00B6307B" w:rsidRDefault="00B6307B" w:rsidP="00B6307B">
            <w:pPr>
              <w:pStyle w:val="Bezodstpw"/>
              <w:jc w:val="left"/>
            </w:pPr>
            <w:r>
              <w:t>Zawartość metali ciężkich (formy całkowite):</w:t>
            </w:r>
          </w:p>
        </w:tc>
      </w:tr>
      <w:tr w:rsidR="009A2EA1" w:rsidTr="009A2EA1">
        <w:tc>
          <w:tcPr>
            <w:tcW w:w="4606" w:type="dxa"/>
          </w:tcPr>
          <w:p w:rsidR="009A2EA1" w:rsidRDefault="00B6307B" w:rsidP="009A2EA1">
            <w:pPr>
              <w:pStyle w:val="Bezodstpw"/>
            </w:pPr>
            <w:r>
              <w:tab/>
            </w:r>
            <w:r>
              <w:tab/>
              <w:t>- kadm</w:t>
            </w:r>
          </w:p>
        </w:tc>
        <w:tc>
          <w:tcPr>
            <w:tcW w:w="4606" w:type="dxa"/>
          </w:tcPr>
          <w:p w:rsidR="009A2EA1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9A2EA1" w:rsidTr="009A2EA1">
        <w:tc>
          <w:tcPr>
            <w:tcW w:w="4606" w:type="dxa"/>
          </w:tcPr>
          <w:p w:rsidR="009A2EA1" w:rsidRDefault="00B6307B" w:rsidP="009A2EA1">
            <w:pPr>
              <w:pStyle w:val="Bezodstpw"/>
            </w:pPr>
            <w:r>
              <w:tab/>
            </w:r>
            <w:r>
              <w:tab/>
              <w:t>- ołów</w:t>
            </w:r>
          </w:p>
        </w:tc>
        <w:tc>
          <w:tcPr>
            <w:tcW w:w="4606" w:type="dxa"/>
          </w:tcPr>
          <w:p w:rsidR="009A2EA1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9A2EA1" w:rsidTr="009A2EA1">
        <w:tc>
          <w:tcPr>
            <w:tcW w:w="4606" w:type="dxa"/>
          </w:tcPr>
          <w:p w:rsidR="009A2EA1" w:rsidRDefault="00B6307B" w:rsidP="009A2EA1">
            <w:pPr>
              <w:pStyle w:val="Bezodstpw"/>
            </w:pPr>
            <w:r>
              <w:tab/>
            </w:r>
            <w:r>
              <w:tab/>
              <w:t>- miedź</w:t>
            </w:r>
          </w:p>
        </w:tc>
        <w:tc>
          <w:tcPr>
            <w:tcW w:w="4606" w:type="dxa"/>
          </w:tcPr>
          <w:p w:rsidR="009A2EA1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9A2EA1" w:rsidTr="009A2EA1">
        <w:tc>
          <w:tcPr>
            <w:tcW w:w="4606" w:type="dxa"/>
          </w:tcPr>
          <w:p w:rsidR="009A2EA1" w:rsidRDefault="00B6307B" w:rsidP="009A2EA1">
            <w:pPr>
              <w:pStyle w:val="Bezodstpw"/>
            </w:pPr>
            <w:r>
              <w:tab/>
            </w:r>
            <w:r>
              <w:tab/>
              <w:t>- cynk</w:t>
            </w:r>
          </w:p>
        </w:tc>
        <w:tc>
          <w:tcPr>
            <w:tcW w:w="4606" w:type="dxa"/>
          </w:tcPr>
          <w:p w:rsidR="009A2EA1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ab/>
            </w:r>
            <w:r>
              <w:tab/>
              <w:t>- nikiel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ab/>
            </w:r>
            <w:r>
              <w:tab/>
              <w:t>- arsen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ab/>
            </w:r>
            <w:r>
              <w:tab/>
              <w:t>- rtęć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Pr="00B6307B" w:rsidRDefault="00B6307B" w:rsidP="009A2EA1">
            <w:pPr>
              <w:pStyle w:val="Bezodstpw"/>
            </w:pPr>
            <w:r>
              <w:t>Siarka siarczanowa (S-SO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>Zawartość węgla organicznego (próchnicy)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B6307B">
        <w:tc>
          <w:tcPr>
            <w:tcW w:w="4606" w:type="dxa"/>
          </w:tcPr>
          <w:p w:rsidR="00B6307B" w:rsidRDefault="00B6307B" w:rsidP="00B6307B">
            <w:pPr>
              <w:pStyle w:val="Bezodstpw"/>
              <w:jc w:val="left"/>
            </w:pPr>
            <w:r>
              <w:t>Zawartość wielopierścieniowych węglowodorów aromatycznych (WWA)</w:t>
            </w:r>
          </w:p>
        </w:tc>
        <w:tc>
          <w:tcPr>
            <w:tcW w:w="4606" w:type="dxa"/>
            <w:vAlign w:val="center"/>
          </w:tcPr>
          <w:p w:rsidR="00B6307B" w:rsidRDefault="00B6307B" w:rsidP="00B6307B">
            <w:pPr>
              <w:pStyle w:val="Bezodstpw"/>
              <w:jc w:val="center"/>
            </w:pPr>
            <w:r>
              <w:t>35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>Oznaczenie suchej masy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</w:tbl>
    <w:p w:rsidR="009A2EA1" w:rsidRPr="009A2EA1" w:rsidRDefault="009A2EA1" w:rsidP="009A2EA1">
      <w:pPr>
        <w:pStyle w:val="Bezodstpw"/>
      </w:pPr>
    </w:p>
    <w:p w:rsidR="00B6307B" w:rsidRDefault="00B6307B" w:rsidP="00B6307B">
      <w:r>
        <w:t>Lokalizację ilościową poboru prób glebowych w obrębach wytypowanych do badań, na terenie gmin powiatu średzkiego, wyszczególniono w załączniku 2 – Ilościowa lokalizacja poboru prób glebowych w obszarach obrębów (140 prób) i w załączniku 2a – Ilościowa lokalizacja poboru prób glebowych w zasięgu oddziaływania potencjalnych źródeł zanieczyszczenia (35 prób).</w:t>
      </w:r>
      <w:r w:rsidR="00604E0C">
        <w:t xml:space="preserve">Próbki należy pobrać sektorowo. </w:t>
      </w:r>
    </w:p>
    <w:p w:rsidR="00B6307B" w:rsidRDefault="00B6307B" w:rsidP="00B6307B">
      <w:r>
        <w:t>Badania laboratoryjne w zakresie określonym w zadaniu Wykonawca wykona w akredytowanym laboratorium</w:t>
      </w:r>
      <w:r w:rsidR="00E90B6D">
        <w:t xml:space="preserve"> (laboratoriach)</w:t>
      </w:r>
      <w:r>
        <w:t>.</w:t>
      </w:r>
    </w:p>
    <w:p w:rsidR="00E90B6D" w:rsidRDefault="00E90B6D" w:rsidP="00B6307B">
      <w:r>
        <w:t>Do formularza oferty należy załączyć kopię certyfikatu akredytacji wraz z załącznikiem aktualnego zakresu akredytacji.</w:t>
      </w:r>
    </w:p>
    <w:p w:rsidR="00B6307B" w:rsidRDefault="00E90B6D" w:rsidP="00B6307B">
      <w:r>
        <w:t>W realizacji zlecenia</w:t>
      </w:r>
      <w:r w:rsidR="00B6307B">
        <w:t xml:space="preserve"> wykorzystane zostaną metody analityczne i techniki analityczne podane w poniższym zestawieniu. Dopuszcza się wykorzystanie metodyk równoważnych.</w:t>
      </w:r>
    </w:p>
    <w:p w:rsidR="000B1F71" w:rsidRDefault="000B1F71" w:rsidP="00B6307B"/>
    <w:tbl>
      <w:tblPr>
        <w:tblStyle w:val="Tabela-Siatka"/>
        <w:tblW w:w="0" w:type="auto"/>
        <w:tblLook w:val="04A0"/>
      </w:tblPr>
      <w:tblGrid>
        <w:gridCol w:w="3196"/>
        <w:gridCol w:w="3045"/>
        <w:gridCol w:w="3047"/>
      </w:tblGrid>
      <w:tr w:rsidR="00B6307B" w:rsidTr="00A52A99">
        <w:trPr>
          <w:tblHeader/>
        </w:trPr>
        <w:tc>
          <w:tcPr>
            <w:tcW w:w="3196" w:type="dxa"/>
          </w:tcPr>
          <w:p w:rsidR="00B6307B" w:rsidRPr="00B6307B" w:rsidRDefault="00B6307B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lastRenderedPageBreak/>
              <w:t>Nazwa</w:t>
            </w:r>
          </w:p>
        </w:tc>
        <w:tc>
          <w:tcPr>
            <w:tcW w:w="3045" w:type="dxa"/>
          </w:tcPr>
          <w:p w:rsidR="00B6307B" w:rsidRPr="00B6307B" w:rsidRDefault="00B6307B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t>Metodyka</w:t>
            </w:r>
          </w:p>
        </w:tc>
        <w:tc>
          <w:tcPr>
            <w:tcW w:w="3047" w:type="dxa"/>
          </w:tcPr>
          <w:p w:rsidR="00B6307B" w:rsidRPr="00B6307B" w:rsidRDefault="00B6307B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t>Technika analityczna</w:t>
            </w:r>
          </w:p>
        </w:tc>
      </w:tr>
      <w:tr w:rsidR="00B6307B" w:rsidRPr="00A52A99" w:rsidTr="00A52A99">
        <w:tc>
          <w:tcPr>
            <w:tcW w:w="3196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Pobieranie prób</w:t>
            </w:r>
          </w:p>
        </w:tc>
        <w:tc>
          <w:tcPr>
            <w:tcW w:w="3045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PN-R-04031:1997, PN-ISO 10381-4:2007</w:t>
            </w:r>
          </w:p>
        </w:tc>
        <w:tc>
          <w:tcPr>
            <w:tcW w:w="3047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Pobór laską glebową</w:t>
            </w:r>
          </w:p>
        </w:tc>
      </w:tr>
      <w:tr w:rsidR="00B6307B" w:rsidRPr="00A52A99" w:rsidTr="00A52A99">
        <w:tc>
          <w:tcPr>
            <w:tcW w:w="3196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 xml:space="preserve">Skład granulometryczny </w:t>
            </w:r>
          </w:p>
        </w:tc>
        <w:tc>
          <w:tcPr>
            <w:tcW w:w="3045" w:type="dxa"/>
            <w:vAlign w:val="center"/>
          </w:tcPr>
          <w:p w:rsidR="00B6307B" w:rsidRPr="00A52A99" w:rsidRDefault="00B6307B" w:rsidP="00265652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</w:t>
            </w:r>
            <w:r w:rsidR="00265652" w:rsidRPr="00A52A99">
              <w:rPr>
                <w:sz w:val="22"/>
                <w:szCs w:val="22"/>
              </w:rPr>
              <w:t xml:space="preserve"> ISO 11277 lub</w:t>
            </w:r>
          </w:p>
          <w:p w:rsidR="00265652" w:rsidRPr="00A52A99" w:rsidRDefault="00265652" w:rsidP="00265652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-------------------------</w:t>
            </w:r>
          </w:p>
          <w:p w:rsidR="00265652" w:rsidRPr="00A52A99" w:rsidRDefault="00265652" w:rsidP="00265652">
            <w:pPr>
              <w:pStyle w:val="Bezodstpw"/>
              <w:jc w:val="left"/>
              <w:rPr>
                <w:sz w:val="22"/>
                <w:szCs w:val="22"/>
              </w:rPr>
            </w:pPr>
          </w:p>
          <w:p w:rsidR="00265652" w:rsidRPr="00A52A99" w:rsidRDefault="00265652" w:rsidP="00265652">
            <w:pPr>
              <w:pStyle w:val="Bezodstpw"/>
              <w:jc w:val="left"/>
              <w:rPr>
                <w:sz w:val="22"/>
                <w:szCs w:val="22"/>
              </w:rPr>
            </w:pPr>
            <w:proofErr w:type="spellStart"/>
            <w:r w:rsidRPr="00A52A99">
              <w:rPr>
                <w:sz w:val="22"/>
                <w:szCs w:val="22"/>
              </w:rPr>
              <w:t>PKN-CEN</w:t>
            </w:r>
            <w:proofErr w:type="spellEnd"/>
            <w:r w:rsidRPr="00A52A99">
              <w:rPr>
                <w:sz w:val="22"/>
                <w:szCs w:val="22"/>
              </w:rPr>
              <w:t xml:space="preserve"> ISO/TS 17892-4</w:t>
            </w:r>
          </w:p>
        </w:tc>
        <w:tc>
          <w:tcPr>
            <w:tcW w:w="3047" w:type="dxa"/>
            <w:vAlign w:val="center"/>
          </w:tcPr>
          <w:p w:rsidR="00B6307B" w:rsidRPr="00A52A99" w:rsidRDefault="00B6307B" w:rsidP="00265652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Metoda sitow</w:t>
            </w:r>
            <w:r w:rsidR="00E90B6D" w:rsidRPr="00A52A99">
              <w:rPr>
                <w:sz w:val="22"/>
                <w:szCs w:val="22"/>
              </w:rPr>
              <w:t>a</w:t>
            </w:r>
            <w:r w:rsidRPr="00A52A99">
              <w:rPr>
                <w:sz w:val="22"/>
                <w:szCs w:val="22"/>
              </w:rPr>
              <w:t xml:space="preserve"> i </w:t>
            </w:r>
            <w:r w:rsidR="00265652" w:rsidRPr="00A52A99">
              <w:rPr>
                <w:sz w:val="22"/>
                <w:szCs w:val="22"/>
              </w:rPr>
              <w:t>sedymentacyjna</w:t>
            </w:r>
          </w:p>
          <w:p w:rsidR="00265652" w:rsidRPr="00A52A99" w:rsidRDefault="00265652" w:rsidP="00265652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-------------------------------</w:t>
            </w:r>
          </w:p>
          <w:p w:rsidR="00265652" w:rsidRPr="00A52A99" w:rsidRDefault="00265652" w:rsidP="00265652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Metoda dyfrakcji laserowej</w:t>
            </w:r>
          </w:p>
        </w:tc>
      </w:tr>
      <w:tr w:rsidR="00B6307B" w:rsidRPr="00A52A99" w:rsidTr="00A52A99">
        <w:tc>
          <w:tcPr>
            <w:tcW w:w="3196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Odczyn (</w:t>
            </w:r>
            <w:proofErr w:type="spellStart"/>
            <w:r w:rsidRPr="00A52A99">
              <w:rPr>
                <w:sz w:val="22"/>
                <w:szCs w:val="22"/>
              </w:rPr>
              <w:t>pH</w:t>
            </w:r>
            <w:proofErr w:type="spellEnd"/>
            <w:r w:rsidRPr="00A52A99">
              <w:rPr>
                <w:sz w:val="22"/>
                <w:szCs w:val="22"/>
              </w:rPr>
              <w:t>) – (</w:t>
            </w:r>
            <w:proofErr w:type="spellStart"/>
            <w:r w:rsidRPr="00A52A99">
              <w:rPr>
                <w:sz w:val="22"/>
                <w:szCs w:val="22"/>
              </w:rPr>
              <w:t>KCl</w:t>
            </w:r>
            <w:proofErr w:type="spellEnd"/>
            <w:r w:rsidRPr="00A52A99">
              <w:rPr>
                <w:sz w:val="22"/>
                <w:szCs w:val="22"/>
              </w:rPr>
              <w:t>)</w:t>
            </w:r>
          </w:p>
        </w:tc>
        <w:tc>
          <w:tcPr>
            <w:tcW w:w="3045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PN-ISO 10390:1997</w:t>
            </w:r>
          </w:p>
        </w:tc>
        <w:tc>
          <w:tcPr>
            <w:tcW w:w="3047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Spektrometria emisyjna (</w:t>
            </w:r>
            <w:proofErr w:type="spellStart"/>
            <w:r w:rsidRPr="00A52A99">
              <w:rPr>
                <w:sz w:val="22"/>
                <w:szCs w:val="22"/>
              </w:rPr>
              <w:t>induktywnie</w:t>
            </w:r>
            <w:proofErr w:type="spellEnd"/>
            <w:r w:rsidRPr="00A52A99">
              <w:rPr>
                <w:sz w:val="22"/>
                <w:szCs w:val="22"/>
              </w:rPr>
              <w:t xml:space="preserve"> sprzężona plazma)</w:t>
            </w:r>
          </w:p>
        </w:tc>
      </w:tr>
      <w:tr w:rsidR="00B6307B" w:rsidRPr="00A52A99" w:rsidTr="00A52A99">
        <w:tc>
          <w:tcPr>
            <w:tcW w:w="3196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Kadm (Cd)</w:t>
            </w:r>
          </w:p>
        </w:tc>
        <w:tc>
          <w:tcPr>
            <w:tcW w:w="3045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PN-EN ISO 11885:2009</w:t>
            </w:r>
          </w:p>
        </w:tc>
        <w:tc>
          <w:tcPr>
            <w:tcW w:w="3047" w:type="dxa"/>
            <w:vAlign w:val="center"/>
          </w:tcPr>
          <w:p w:rsidR="00B6307B" w:rsidRPr="00A52A99" w:rsidRDefault="00B6307B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Spektrometria emisyjna (</w:t>
            </w:r>
            <w:proofErr w:type="spellStart"/>
            <w:r w:rsidRPr="00A52A99">
              <w:rPr>
                <w:sz w:val="22"/>
                <w:szCs w:val="22"/>
              </w:rPr>
              <w:t>induktywnie</w:t>
            </w:r>
            <w:proofErr w:type="spellEnd"/>
            <w:r w:rsidRPr="00A52A99">
              <w:rPr>
                <w:sz w:val="22"/>
                <w:szCs w:val="22"/>
              </w:rPr>
              <w:t xml:space="preserve"> sprzężona plazma)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Ołów (Pb)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PN-EN ISO 11885:2009</w:t>
            </w:r>
          </w:p>
        </w:tc>
        <w:tc>
          <w:tcPr>
            <w:tcW w:w="3047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Spektrometria emisyjna (</w:t>
            </w:r>
            <w:proofErr w:type="spellStart"/>
            <w:r w:rsidRPr="00A52A99">
              <w:rPr>
                <w:sz w:val="22"/>
                <w:szCs w:val="22"/>
              </w:rPr>
              <w:t>induktywnie</w:t>
            </w:r>
            <w:proofErr w:type="spellEnd"/>
            <w:r w:rsidRPr="00A52A99">
              <w:rPr>
                <w:sz w:val="22"/>
                <w:szCs w:val="22"/>
              </w:rPr>
              <w:t xml:space="preserve"> sprzężona plazma)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Miedź (Cu)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PN-EN ISO 11885:2009</w:t>
            </w:r>
          </w:p>
        </w:tc>
        <w:tc>
          <w:tcPr>
            <w:tcW w:w="3047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Spektrometria emisyjna (</w:t>
            </w:r>
            <w:proofErr w:type="spellStart"/>
            <w:r w:rsidRPr="00A52A99">
              <w:rPr>
                <w:sz w:val="22"/>
                <w:szCs w:val="22"/>
              </w:rPr>
              <w:t>induktywnie</w:t>
            </w:r>
            <w:proofErr w:type="spellEnd"/>
            <w:r w:rsidRPr="00A52A99">
              <w:rPr>
                <w:sz w:val="22"/>
                <w:szCs w:val="22"/>
              </w:rPr>
              <w:t xml:space="preserve"> sprzężona plazma)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Cynk (Zn)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PN-EN ISO 11885:2009</w:t>
            </w:r>
          </w:p>
        </w:tc>
        <w:tc>
          <w:tcPr>
            <w:tcW w:w="3047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Spektrometria emisyjna (</w:t>
            </w:r>
            <w:proofErr w:type="spellStart"/>
            <w:r w:rsidRPr="00A52A99">
              <w:rPr>
                <w:sz w:val="22"/>
                <w:szCs w:val="22"/>
              </w:rPr>
              <w:t>induktywnie</w:t>
            </w:r>
            <w:proofErr w:type="spellEnd"/>
            <w:r w:rsidRPr="00A52A99">
              <w:rPr>
                <w:sz w:val="22"/>
                <w:szCs w:val="22"/>
              </w:rPr>
              <w:t xml:space="preserve"> sprzężona plazma)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Nikiel (Ni)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PN-EN ISO 11885:2009</w:t>
            </w:r>
          </w:p>
        </w:tc>
        <w:tc>
          <w:tcPr>
            <w:tcW w:w="3047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Spektrometria emisyjna (</w:t>
            </w:r>
            <w:proofErr w:type="spellStart"/>
            <w:r w:rsidRPr="00A52A99">
              <w:rPr>
                <w:sz w:val="22"/>
                <w:szCs w:val="22"/>
              </w:rPr>
              <w:t>induktywnie</w:t>
            </w:r>
            <w:proofErr w:type="spellEnd"/>
            <w:r w:rsidRPr="00A52A99">
              <w:rPr>
                <w:sz w:val="22"/>
                <w:szCs w:val="22"/>
              </w:rPr>
              <w:t xml:space="preserve"> sprzężona plazma)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Arsen (As)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PN-EN ISO 11885:2009</w:t>
            </w:r>
          </w:p>
        </w:tc>
        <w:tc>
          <w:tcPr>
            <w:tcW w:w="3047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Spektrometria emisyjna (</w:t>
            </w:r>
            <w:proofErr w:type="spellStart"/>
            <w:r w:rsidRPr="00A52A99">
              <w:rPr>
                <w:sz w:val="22"/>
                <w:szCs w:val="22"/>
              </w:rPr>
              <w:t>induktywnie</w:t>
            </w:r>
            <w:proofErr w:type="spellEnd"/>
            <w:r w:rsidRPr="00A52A99">
              <w:rPr>
                <w:sz w:val="22"/>
                <w:szCs w:val="22"/>
              </w:rPr>
              <w:t xml:space="preserve"> sprzężona plazma)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Rtęć (</w:t>
            </w:r>
            <w:proofErr w:type="spellStart"/>
            <w:r w:rsidRPr="00A52A99">
              <w:rPr>
                <w:sz w:val="22"/>
                <w:szCs w:val="22"/>
              </w:rPr>
              <w:t>Hg</w:t>
            </w:r>
            <w:proofErr w:type="spellEnd"/>
            <w:r w:rsidRPr="00A52A99">
              <w:rPr>
                <w:sz w:val="22"/>
                <w:szCs w:val="22"/>
              </w:rPr>
              <w:t>)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PN-ISO 16772:2009</w:t>
            </w:r>
          </w:p>
        </w:tc>
        <w:tc>
          <w:tcPr>
            <w:tcW w:w="3047" w:type="dxa"/>
            <w:vAlign w:val="center"/>
          </w:tcPr>
          <w:p w:rsidR="000B1F71" w:rsidRPr="00A52A99" w:rsidRDefault="000D0156" w:rsidP="000B1F71">
            <w:pPr>
              <w:pStyle w:val="Bezodstpw"/>
              <w:jc w:val="left"/>
              <w:rPr>
                <w:sz w:val="22"/>
                <w:szCs w:val="22"/>
              </w:rPr>
            </w:pPr>
            <w:proofErr w:type="spellStart"/>
            <w:r w:rsidRPr="00A52A99">
              <w:rPr>
                <w:sz w:val="22"/>
                <w:szCs w:val="22"/>
              </w:rPr>
              <w:t>Absporpcyjna</w:t>
            </w:r>
            <w:proofErr w:type="spellEnd"/>
            <w:r w:rsidRPr="00A52A99">
              <w:rPr>
                <w:sz w:val="22"/>
                <w:szCs w:val="22"/>
              </w:rPr>
              <w:t xml:space="preserve"> spektrometria atomowa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 xml:space="preserve">Siarka siarczanowa 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PN-ISO 11048:2002</w:t>
            </w:r>
          </w:p>
        </w:tc>
        <w:tc>
          <w:tcPr>
            <w:tcW w:w="3047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Chromatografia jonowa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Zawartość próchnicy (ogólny węgiel organiczny)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PN-EN 10694:2002</w:t>
            </w:r>
          </w:p>
        </w:tc>
        <w:tc>
          <w:tcPr>
            <w:tcW w:w="3047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Spektrometria w podczerwieni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370E38" w:rsidRPr="00A52A99" w:rsidRDefault="00420761" w:rsidP="00370E38">
            <w:pPr>
              <w:pStyle w:val="Bezodstpw"/>
              <w:jc w:val="left"/>
              <w:rPr>
                <w:rStyle w:val="text-justify"/>
                <w:sz w:val="22"/>
                <w:szCs w:val="22"/>
              </w:rPr>
            </w:pPr>
            <w:r w:rsidRPr="00A52A99">
              <w:rPr>
                <w:rStyle w:val="text-justify"/>
                <w:sz w:val="22"/>
                <w:szCs w:val="22"/>
              </w:rPr>
              <w:t>W</w:t>
            </w:r>
            <w:r w:rsidR="00C21A86" w:rsidRPr="00A52A99">
              <w:rPr>
                <w:rStyle w:val="text-justify"/>
                <w:sz w:val="22"/>
                <w:szCs w:val="22"/>
              </w:rPr>
              <w:t xml:space="preserve">ydzielone w oparciu o wielopierścieniowe </w:t>
            </w:r>
            <w:r w:rsidR="00370E38" w:rsidRPr="00A52A99">
              <w:rPr>
                <w:rStyle w:val="text-justify"/>
                <w:sz w:val="22"/>
                <w:szCs w:val="22"/>
              </w:rPr>
              <w:t>węglowodory aromatyczne:</w:t>
            </w:r>
          </w:p>
          <w:p w:rsidR="00370E38" w:rsidRPr="00A52A99" w:rsidRDefault="00370E38" w:rsidP="00370E38">
            <w:pPr>
              <w:pStyle w:val="Bezodstpw"/>
              <w:numPr>
                <w:ilvl w:val="0"/>
                <w:numId w:val="8"/>
              </w:numPr>
              <w:jc w:val="left"/>
              <w:rPr>
                <w:rStyle w:val="text-justify"/>
                <w:sz w:val="22"/>
                <w:szCs w:val="22"/>
              </w:rPr>
            </w:pPr>
            <w:r w:rsidRPr="00A52A99">
              <w:rPr>
                <w:rStyle w:val="text-justify"/>
                <w:sz w:val="22"/>
                <w:szCs w:val="22"/>
              </w:rPr>
              <w:t>Naftalen</w:t>
            </w:r>
          </w:p>
          <w:p w:rsidR="00370E38" w:rsidRPr="00A52A99" w:rsidRDefault="00370E38" w:rsidP="00370E38">
            <w:pPr>
              <w:pStyle w:val="Bezodstpw"/>
              <w:numPr>
                <w:ilvl w:val="0"/>
                <w:numId w:val="8"/>
              </w:numPr>
              <w:jc w:val="left"/>
              <w:rPr>
                <w:rStyle w:val="text-justify"/>
                <w:sz w:val="22"/>
                <w:szCs w:val="22"/>
              </w:rPr>
            </w:pPr>
            <w:r w:rsidRPr="00A52A99">
              <w:rPr>
                <w:rStyle w:val="text-justify"/>
                <w:sz w:val="22"/>
                <w:szCs w:val="22"/>
              </w:rPr>
              <w:t>Antracen</w:t>
            </w:r>
          </w:p>
          <w:p w:rsidR="00370E38" w:rsidRPr="00A52A99" w:rsidRDefault="00370E38" w:rsidP="00370E38">
            <w:pPr>
              <w:pStyle w:val="Bezodstpw"/>
              <w:numPr>
                <w:ilvl w:val="0"/>
                <w:numId w:val="8"/>
              </w:numPr>
              <w:jc w:val="left"/>
              <w:rPr>
                <w:rStyle w:val="text-justify"/>
                <w:sz w:val="22"/>
                <w:szCs w:val="22"/>
              </w:rPr>
            </w:pPr>
            <w:proofErr w:type="spellStart"/>
            <w:r w:rsidRPr="00A52A99">
              <w:rPr>
                <w:rStyle w:val="text-justify"/>
                <w:sz w:val="22"/>
                <w:szCs w:val="22"/>
              </w:rPr>
              <w:t>Chryzen</w:t>
            </w:r>
            <w:proofErr w:type="spellEnd"/>
          </w:p>
          <w:p w:rsidR="00370E38" w:rsidRPr="00A52A99" w:rsidRDefault="00370E38" w:rsidP="00370E38">
            <w:pPr>
              <w:pStyle w:val="Bezodstpw"/>
              <w:numPr>
                <w:ilvl w:val="0"/>
                <w:numId w:val="8"/>
              </w:numPr>
              <w:jc w:val="left"/>
              <w:rPr>
                <w:rStyle w:val="text-justify"/>
                <w:sz w:val="22"/>
                <w:szCs w:val="22"/>
              </w:rPr>
            </w:pPr>
            <w:proofErr w:type="spellStart"/>
            <w:r w:rsidRPr="00A52A99">
              <w:rPr>
                <w:rStyle w:val="text-justify"/>
                <w:sz w:val="22"/>
                <w:szCs w:val="22"/>
              </w:rPr>
              <w:t>Benzo</w:t>
            </w:r>
            <w:proofErr w:type="spellEnd"/>
            <w:r w:rsidRPr="00A52A99">
              <w:rPr>
                <w:rStyle w:val="text-justify"/>
                <w:sz w:val="22"/>
                <w:szCs w:val="22"/>
              </w:rPr>
              <w:t>(a)antracen</w:t>
            </w:r>
          </w:p>
          <w:p w:rsidR="00370E38" w:rsidRPr="00A52A99" w:rsidRDefault="00370E38" w:rsidP="00370E38">
            <w:pPr>
              <w:pStyle w:val="Bezodstpw"/>
              <w:numPr>
                <w:ilvl w:val="0"/>
                <w:numId w:val="8"/>
              </w:numPr>
              <w:jc w:val="left"/>
              <w:rPr>
                <w:rStyle w:val="text-justify"/>
                <w:sz w:val="22"/>
                <w:szCs w:val="22"/>
              </w:rPr>
            </w:pPr>
            <w:proofErr w:type="spellStart"/>
            <w:r w:rsidRPr="00A52A99">
              <w:rPr>
                <w:rStyle w:val="text-justify"/>
                <w:sz w:val="22"/>
                <w:szCs w:val="22"/>
              </w:rPr>
              <w:t>Dibenzo</w:t>
            </w:r>
            <w:proofErr w:type="spellEnd"/>
            <w:r w:rsidRPr="00A52A99">
              <w:rPr>
                <w:rStyle w:val="text-justify"/>
                <w:sz w:val="22"/>
                <w:szCs w:val="22"/>
              </w:rPr>
              <w:t>(</w:t>
            </w:r>
            <w:proofErr w:type="spellStart"/>
            <w:r w:rsidRPr="00A52A99">
              <w:rPr>
                <w:rStyle w:val="text-justify"/>
                <w:sz w:val="22"/>
                <w:szCs w:val="22"/>
              </w:rPr>
              <w:t>a,h</w:t>
            </w:r>
            <w:proofErr w:type="spellEnd"/>
            <w:r w:rsidRPr="00A52A99">
              <w:rPr>
                <w:rStyle w:val="text-justify"/>
                <w:sz w:val="22"/>
                <w:szCs w:val="22"/>
              </w:rPr>
              <w:t>)antracen</w:t>
            </w:r>
          </w:p>
          <w:p w:rsidR="00370E38" w:rsidRPr="00A52A99" w:rsidRDefault="00370E38" w:rsidP="00370E38">
            <w:pPr>
              <w:pStyle w:val="Bezodstpw"/>
              <w:numPr>
                <w:ilvl w:val="0"/>
                <w:numId w:val="8"/>
              </w:numPr>
              <w:jc w:val="left"/>
              <w:rPr>
                <w:rStyle w:val="text-justify"/>
                <w:sz w:val="22"/>
                <w:szCs w:val="22"/>
              </w:rPr>
            </w:pPr>
            <w:proofErr w:type="spellStart"/>
            <w:r w:rsidRPr="00A52A99">
              <w:rPr>
                <w:rStyle w:val="text-justify"/>
                <w:sz w:val="22"/>
                <w:szCs w:val="22"/>
              </w:rPr>
              <w:t>Benzo</w:t>
            </w:r>
            <w:proofErr w:type="spellEnd"/>
            <w:r w:rsidRPr="00A52A99">
              <w:rPr>
                <w:rStyle w:val="text-justify"/>
                <w:sz w:val="22"/>
                <w:szCs w:val="22"/>
              </w:rPr>
              <w:t>(a)</w:t>
            </w:r>
            <w:proofErr w:type="spellStart"/>
            <w:r w:rsidRPr="00A52A99">
              <w:rPr>
                <w:rStyle w:val="text-justify"/>
                <w:sz w:val="22"/>
                <w:szCs w:val="22"/>
              </w:rPr>
              <w:t>piren</w:t>
            </w:r>
            <w:proofErr w:type="spellEnd"/>
          </w:p>
          <w:p w:rsidR="00370E38" w:rsidRPr="00A52A99" w:rsidRDefault="00370E38" w:rsidP="00370E38">
            <w:pPr>
              <w:pStyle w:val="Bezodstpw"/>
              <w:numPr>
                <w:ilvl w:val="0"/>
                <w:numId w:val="8"/>
              </w:numPr>
              <w:jc w:val="left"/>
              <w:rPr>
                <w:rStyle w:val="text-justify"/>
                <w:sz w:val="22"/>
                <w:szCs w:val="22"/>
              </w:rPr>
            </w:pPr>
            <w:proofErr w:type="spellStart"/>
            <w:r w:rsidRPr="00A52A99">
              <w:rPr>
                <w:rStyle w:val="text-justify"/>
                <w:sz w:val="22"/>
                <w:szCs w:val="22"/>
              </w:rPr>
              <w:t>Benzo</w:t>
            </w:r>
            <w:proofErr w:type="spellEnd"/>
            <w:r w:rsidRPr="00A52A99">
              <w:rPr>
                <w:rStyle w:val="text-justify"/>
                <w:sz w:val="22"/>
                <w:szCs w:val="22"/>
              </w:rPr>
              <w:t>(b)</w:t>
            </w:r>
            <w:proofErr w:type="spellStart"/>
            <w:r w:rsidRPr="00A52A99">
              <w:rPr>
                <w:rStyle w:val="text-justify"/>
                <w:sz w:val="22"/>
                <w:szCs w:val="22"/>
              </w:rPr>
              <w:t>fluoranten</w:t>
            </w:r>
            <w:proofErr w:type="spellEnd"/>
          </w:p>
          <w:p w:rsidR="00370E38" w:rsidRPr="00A52A99" w:rsidRDefault="00370E38" w:rsidP="00370E38">
            <w:pPr>
              <w:pStyle w:val="Bezodstpw"/>
              <w:numPr>
                <w:ilvl w:val="0"/>
                <w:numId w:val="8"/>
              </w:numPr>
              <w:jc w:val="left"/>
              <w:rPr>
                <w:rStyle w:val="text-justify"/>
                <w:sz w:val="22"/>
                <w:szCs w:val="22"/>
              </w:rPr>
            </w:pPr>
            <w:proofErr w:type="spellStart"/>
            <w:r w:rsidRPr="00A52A99">
              <w:rPr>
                <w:rStyle w:val="text-justify"/>
                <w:sz w:val="22"/>
                <w:szCs w:val="22"/>
              </w:rPr>
              <w:t>Benzo</w:t>
            </w:r>
            <w:proofErr w:type="spellEnd"/>
            <w:r w:rsidRPr="00A52A99">
              <w:rPr>
                <w:rStyle w:val="text-justify"/>
                <w:sz w:val="22"/>
                <w:szCs w:val="22"/>
              </w:rPr>
              <w:t>(k)</w:t>
            </w:r>
            <w:proofErr w:type="spellStart"/>
            <w:r w:rsidRPr="00A52A99">
              <w:rPr>
                <w:rStyle w:val="text-justify"/>
                <w:sz w:val="22"/>
                <w:szCs w:val="22"/>
              </w:rPr>
              <w:t>fluoranten</w:t>
            </w:r>
            <w:proofErr w:type="spellEnd"/>
          </w:p>
          <w:p w:rsidR="000B1F71" w:rsidRPr="00A52A99" w:rsidRDefault="00370E38" w:rsidP="00370E38">
            <w:pPr>
              <w:pStyle w:val="Bezodstpw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proofErr w:type="spellStart"/>
            <w:r w:rsidRPr="00A52A99">
              <w:rPr>
                <w:rStyle w:val="text-justify"/>
                <w:sz w:val="22"/>
                <w:szCs w:val="22"/>
              </w:rPr>
              <w:t>Benzo</w:t>
            </w:r>
            <w:proofErr w:type="spellEnd"/>
            <w:r w:rsidRPr="00A52A99">
              <w:rPr>
                <w:rStyle w:val="text-justify"/>
                <w:sz w:val="22"/>
                <w:szCs w:val="22"/>
              </w:rPr>
              <w:t>(ghi)</w:t>
            </w:r>
            <w:proofErr w:type="spellStart"/>
            <w:r w:rsidRPr="00A52A99">
              <w:rPr>
                <w:rStyle w:val="text-justify"/>
                <w:sz w:val="22"/>
                <w:szCs w:val="22"/>
              </w:rPr>
              <w:t>perylen</w:t>
            </w:r>
            <w:proofErr w:type="spellEnd"/>
            <w:r w:rsidRPr="00A52A99">
              <w:rPr>
                <w:rStyle w:val="text-justify"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ISO 18287:2006</w:t>
            </w:r>
          </w:p>
        </w:tc>
        <w:tc>
          <w:tcPr>
            <w:tcW w:w="3047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Chromatografia gazowa/spektrometria masowa (GCMS)</w:t>
            </w:r>
          </w:p>
        </w:tc>
      </w:tr>
      <w:tr w:rsidR="000B1F71" w:rsidRPr="00A52A99" w:rsidTr="00A52A99">
        <w:tc>
          <w:tcPr>
            <w:tcW w:w="3196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Sucha masa</w:t>
            </w:r>
          </w:p>
        </w:tc>
        <w:tc>
          <w:tcPr>
            <w:tcW w:w="3045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PN-ISO 11465:1999</w:t>
            </w:r>
          </w:p>
        </w:tc>
        <w:tc>
          <w:tcPr>
            <w:tcW w:w="3047" w:type="dxa"/>
            <w:vAlign w:val="center"/>
          </w:tcPr>
          <w:p w:rsidR="000B1F71" w:rsidRPr="00A52A99" w:rsidRDefault="000B1F71" w:rsidP="000B1F71">
            <w:pPr>
              <w:pStyle w:val="Bezodstpw"/>
              <w:jc w:val="left"/>
              <w:rPr>
                <w:sz w:val="22"/>
                <w:szCs w:val="22"/>
              </w:rPr>
            </w:pPr>
            <w:r w:rsidRPr="00A52A99">
              <w:rPr>
                <w:sz w:val="22"/>
                <w:szCs w:val="22"/>
              </w:rPr>
              <w:t>Metoda wagowa</w:t>
            </w:r>
          </w:p>
        </w:tc>
      </w:tr>
    </w:tbl>
    <w:p w:rsidR="00794E1E" w:rsidRPr="00A52A99" w:rsidRDefault="00794E1E" w:rsidP="00794E1E">
      <w:pPr>
        <w:pStyle w:val="Akapitzlist"/>
        <w:ind w:left="1069" w:firstLine="0"/>
        <w:rPr>
          <w:b/>
          <w:sz w:val="22"/>
          <w:szCs w:val="22"/>
        </w:rPr>
      </w:pPr>
    </w:p>
    <w:p w:rsidR="007765C0" w:rsidRDefault="007765C0" w:rsidP="007765C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Pobór prób glebowych do badań</w:t>
      </w:r>
    </w:p>
    <w:p w:rsidR="007765C0" w:rsidRDefault="007765C0" w:rsidP="007765C0">
      <w:r w:rsidRPr="007765C0">
        <w:t xml:space="preserve">Pola </w:t>
      </w:r>
      <w:r>
        <w:t xml:space="preserve">(działki), na których pobrane zostaną próby glebowe, winny być </w:t>
      </w:r>
      <w:r w:rsidR="00F232FA">
        <w:t>metodycznie</w:t>
      </w:r>
      <w:r>
        <w:t xml:space="preserve"> podporządkowane celowi realizacyjnego zadania.</w:t>
      </w:r>
    </w:p>
    <w:p w:rsidR="007765C0" w:rsidRDefault="007765C0" w:rsidP="007765C0">
      <w:r>
        <w:t xml:space="preserve">Pola (działki) zostaną wyznaczone </w:t>
      </w:r>
      <w:r w:rsidR="00F232FA">
        <w:t>uwzględniając poniższe wskazania:</w:t>
      </w:r>
    </w:p>
    <w:p w:rsidR="00F232FA" w:rsidRDefault="00F232FA" w:rsidP="00F232FA">
      <w:pPr>
        <w:pStyle w:val="Akapitzlist"/>
        <w:numPr>
          <w:ilvl w:val="0"/>
          <w:numId w:val="4"/>
        </w:numPr>
      </w:pPr>
      <w:r>
        <w:lastRenderedPageBreak/>
        <w:t xml:space="preserve">przed przystąpieniem do poboru prób glebowych, zasady tych prac należy uzgodnić z </w:t>
      </w:r>
      <w:r w:rsidR="00D70D07">
        <w:t>Zamawiającym</w:t>
      </w:r>
      <w:r>
        <w:t>,</w:t>
      </w:r>
    </w:p>
    <w:p w:rsidR="00F232FA" w:rsidRDefault="00F232FA" w:rsidP="00F232FA">
      <w:pPr>
        <w:pStyle w:val="Akapitzlist"/>
        <w:numPr>
          <w:ilvl w:val="0"/>
          <w:numId w:val="4"/>
        </w:numPr>
      </w:pPr>
      <w:r>
        <w:t>zachować reprezentatywność punktów badawczo – kontrolnych (</w:t>
      </w:r>
      <w:proofErr w:type="spellStart"/>
      <w:r>
        <w:t>pbk</w:t>
      </w:r>
      <w:proofErr w:type="spellEnd"/>
      <w:r>
        <w:t>) dla warunków glebowych w badanych obrębach,</w:t>
      </w:r>
    </w:p>
    <w:p w:rsidR="00F232FA" w:rsidRDefault="00F232FA" w:rsidP="00F232FA">
      <w:pPr>
        <w:pStyle w:val="Akapitzlist"/>
        <w:numPr>
          <w:ilvl w:val="0"/>
          <w:numId w:val="4"/>
        </w:numPr>
      </w:pPr>
      <w:proofErr w:type="spellStart"/>
      <w:r>
        <w:t>pbk</w:t>
      </w:r>
      <w:proofErr w:type="spellEnd"/>
      <w:r>
        <w:t xml:space="preserve"> do poboru prób glebowych wyznaczyć należy tylko na polach gruntów ornych i użytków zielonych,</w:t>
      </w:r>
    </w:p>
    <w:p w:rsidR="00F232FA" w:rsidRDefault="00F232FA" w:rsidP="00F232FA">
      <w:pPr>
        <w:pStyle w:val="Akapitzlist"/>
        <w:numPr>
          <w:ilvl w:val="0"/>
          <w:numId w:val="4"/>
        </w:numPr>
      </w:pPr>
      <w:r>
        <w:t xml:space="preserve">nie wyznaczać </w:t>
      </w:r>
      <w:proofErr w:type="spellStart"/>
      <w:r>
        <w:t>pbk</w:t>
      </w:r>
      <w:proofErr w:type="spellEnd"/>
      <w:r>
        <w:t xml:space="preserve"> na ugorach i odłogach.</w:t>
      </w:r>
    </w:p>
    <w:p w:rsidR="00F232FA" w:rsidRDefault="00F232FA" w:rsidP="00F232FA"/>
    <w:p w:rsidR="00F232FA" w:rsidRDefault="00F232FA" w:rsidP="00F232FA">
      <w:pPr>
        <w:rPr>
          <w:u w:val="single"/>
        </w:rPr>
      </w:pPr>
      <w:r>
        <w:rPr>
          <w:u w:val="single"/>
        </w:rPr>
        <w:t>Lokalizację punktów pomiarowo – kontrolnych w obrębach, w których pobrane zostaną próby glebowe, Wykonawca otrzyma od Zamawiającego, przed przystąpieniem do realizacji zleconego zadania.</w:t>
      </w:r>
    </w:p>
    <w:p w:rsidR="00F232FA" w:rsidRDefault="00F232FA" w:rsidP="00F232FA">
      <w:r>
        <w:t>Lokalizacja punktów poboru prób glebowych określona będzie wskazaniem numerów działek w obrębach i uściślona współrzędnymi (długość, szerokość geogr.), określającymi miejsca poboru prób na tych działkach.</w:t>
      </w:r>
    </w:p>
    <w:p w:rsidR="00F232FA" w:rsidRDefault="00F232FA" w:rsidP="00F232FA">
      <w:r>
        <w:t>Próby glebowe należy pobrać</w:t>
      </w:r>
      <w:r w:rsidR="00604E0C">
        <w:t xml:space="preserve">, sektorowo, </w:t>
      </w:r>
      <w:r>
        <w:t xml:space="preserve"> zgodnie z Polskimi Normami: </w:t>
      </w:r>
      <w:r w:rsidR="00A52A99">
        <w:t xml:space="preserve">                </w:t>
      </w:r>
      <w:r>
        <w:t xml:space="preserve">PN-R-04031; PN-R-04032, PN-ISO 10381-1:2007, PN-ISO 10381-2:2007, PN-ISO 1081-4:2007, oraz z uwzględnieniem uwarunkowań wynikających z zapisów w Rozporządzeniu Ministra Środowiska z dnia </w:t>
      </w:r>
      <w:r w:rsidR="00F80E1F">
        <w:t xml:space="preserve">1 września 2016r. </w:t>
      </w:r>
      <w:r>
        <w:t xml:space="preserve">w sprawie </w:t>
      </w:r>
      <w:r w:rsidR="00F80E1F">
        <w:t xml:space="preserve">sposobu prowadzenia oceny zanieczyszczenia powierzchni ziemi </w:t>
      </w:r>
      <w:r w:rsidR="000D0156">
        <w:t xml:space="preserve">(Dz. U. </w:t>
      </w:r>
      <w:r w:rsidR="00A13C4A">
        <w:t>2016 r.</w:t>
      </w:r>
      <w:r w:rsidR="00F80E1F">
        <w:t xml:space="preserve"> poz</w:t>
      </w:r>
      <w:r w:rsidR="00A13C4A">
        <w:t>.1395)</w:t>
      </w:r>
    </w:p>
    <w:p w:rsidR="00F232FA" w:rsidRDefault="00F232FA" w:rsidP="00A52A99">
      <w:pPr>
        <w:ind w:firstLine="0"/>
        <w:rPr>
          <w:b/>
        </w:rPr>
      </w:pPr>
      <w:r>
        <w:rPr>
          <w:b/>
        </w:rPr>
        <w:t>Zakłada się, że minimalna ilość prób glebowych jaką Wykonawca pobierze w ramach rea</w:t>
      </w:r>
      <w:r w:rsidR="00C030B3">
        <w:rPr>
          <w:b/>
        </w:rPr>
        <w:t>lizacji zadania wynosi 175 sztuk</w:t>
      </w:r>
      <w:r>
        <w:rPr>
          <w:b/>
        </w:rPr>
        <w:t>.</w:t>
      </w:r>
    </w:p>
    <w:p w:rsidR="00F232FA" w:rsidRDefault="00F232FA" w:rsidP="00F232FA">
      <w:r w:rsidRPr="00F232FA">
        <w:t>Wykonaw</w:t>
      </w:r>
      <w:r>
        <w:t>ca zadania otrzyma od Zamawiającego informację dotyczącą lokalizacji poboru prób glebowych, w których dodatkowo wykonane zostaną badania zawartości WWA – w 35 próbach spośród ogólnej ilości 175 prób pobranych do badań.</w:t>
      </w:r>
    </w:p>
    <w:p w:rsidR="00F232FA" w:rsidRDefault="00F232FA" w:rsidP="00F232FA">
      <w:r>
        <w:t xml:space="preserve">Zamawiający przewiduje lokalizację w/w </w:t>
      </w:r>
      <w:r w:rsidR="00C030B3">
        <w:t>35 punktów poboru prób glebowych wokół (w sąsiedztwie) potencjalnych źródeł emisji zanieczyszczeń przez obiekty związane z produkcją przemysłową i składowaniem odpadów oraz przez sąsiedztwo z drogami (załącznik 2a).</w:t>
      </w:r>
    </w:p>
    <w:p w:rsidR="006941CD" w:rsidRDefault="006941CD" w:rsidP="00F232FA">
      <w:r>
        <w:t xml:space="preserve">W celu uzyskania (posiadania) precyzyjnej informacji dotyczącej lokalizacji poboru prób glebowych </w:t>
      </w:r>
      <w:r>
        <w:rPr>
          <w:u w:val="single"/>
        </w:rPr>
        <w:t>należy dokonać pomiarów współrzędnych geograficznych, przy użyciu odbiornika GPS.</w:t>
      </w:r>
      <w:r>
        <w:t xml:space="preserve"> Zastosowanie systemu pozycjonowania satelitarnego (GPS) punktów poboru prób glebowych jest warunkiem przystąpienia do przetargu. </w:t>
      </w:r>
    </w:p>
    <w:p w:rsidR="006941CD" w:rsidRDefault="006941CD" w:rsidP="00F232FA">
      <w:pPr>
        <w:rPr>
          <w:u w:val="single"/>
        </w:rPr>
      </w:pPr>
      <w:r>
        <w:rPr>
          <w:u w:val="single"/>
        </w:rPr>
        <w:t xml:space="preserve">Koszty związane z poborem prób i pomiarami GPS ponosi Wykonawca zadania. </w:t>
      </w:r>
    </w:p>
    <w:p w:rsidR="006941CD" w:rsidRDefault="006941CD" w:rsidP="006941C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Sposób przedstawienia wyników badań</w:t>
      </w:r>
    </w:p>
    <w:p w:rsidR="006941CD" w:rsidRDefault="006941CD" w:rsidP="006941CD">
      <w:pPr>
        <w:rPr>
          <w:u w:val="single"/>
        </w:rPr>
      </w:pPr>
      <w:r>
        <w:t>Wyniki badań gleb uzysk</w:t>
      </w:r>
      <w:r w:rsidR="000D0156">
        <w:t>ane</w:t>
      </w:r>
      <w:r>
        <w:t xml:space="preserve"> z realizacji zleconego zadania, należy opracować w formie </w:t>
      </w:r>
      <w:r>
        <w:rPr>
          <w:u w:val="single"/>
        </w:rPr>
        <w:t xml:space="preserve">raportu – syntezy i w formie kartograficznej. </w:t>
      </w:r>
    </w:p>
    <w:p w:rsidR="006941CD" w:rsidRDefault="006941CD" w:rsidP="006941CD">
      <w:r>
        <w:t>W raporcie Wykonawca zobowiązany będzie do: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dokonania syntetycznej charakterystyki gleb powiatu średzkiego (typy gleb, bonitacja, kompleksy rolniczej przydatności, waloryzacja, erozja wodna i wietrzna, zakwaszenie, zawartość makroelementów</w:t>
      </w:r>
      <w:r w:rsidR="00CA7CCD">
        <w:t>, zawartość materii organicznej</w:t>
      </w:r>
      <w:r>
        <w:t>).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zamieszczenia szczegółowej informacji dotyczącej lokalizacji miejsc – punktów poboru prób glebowych (GPS),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poinformowani</w:t>
      </w:r>
      <w:r w:rsidR="00CA7CCD">
        <w:t>a</w:t>
      </w:r>
      <w:r>
        <w:t xml:space="preserve"> o zastosowanej metodyce badań laboratoryjnych,</w:t>
      </w:r>
    </w:p>
    <w:p w:rsidR="006941CD" w:rsidRDefault="006941CD" w:rsidP="00604E0C">
      <w:pPr>
        <w:pStyle w:val="Akapitzlist"/>
        <w:numPr>
          <w:ilvl w:val="0"/>
          <w:numId w:val="5"/>
        </w:numPr>
      </w:pPr>
      <w:r>
        <w:t xml:space="preserve">oceny uzyskanych wyników badań gleb w odniesieniu do dopuszczalnych stężeń w glebie, w oparciu o </w:t>
      </w:r>
      <w:r w:rsidR="00604E0C">
        <w:t xml:space="preserve">Rozporządzeniu Ministra Środowiska z dnia          1 września 2016r. w sprawie sposobu prowadzenia oceny zanieczyszczenia powierzchni ziemi (Dz. U. 2016 r. poz.1395) </w:t>
      </w:r>
      <w:r>
        <w:t>oraz w oparciu o wytyczne Instytutu Uprawy Nawożenia i Gleboznawstwa – Państwowy Instytut Badawczy w Puławach,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wskazania istnienia zależności (lub brak zależności) pomiędzy zawartością ba</w:t>
      </w:r>
      <w:r w:rsidR="00CA7CCD">
        <w:t>danych parametrów, a usytuowaniem</w:t>
      </w:r>
      <w:r>
        <w:t xml:space="preserve"> w terenie i w stosunku do źródeł oddziaływania emisji zanieczyszczeń,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przedstawienia graficznego uzyskanych wyników badań na podkładach mapy topograficznej w skali 1:50 000,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odniesienia uzyskanych wyników badań do zapisów w Ustawie o ochronie gruntów rolnych i leśnych, w Ustawie Prawo Ochrony Środowiska i innych aktów prawnych,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określenia i wskazania optymalnych decyzji agrotechnicznych, które skutkować będą minimalizacją i likwidacją ujemnych skutków zanieczyszczenia gleb.</w:t>
      </w:r>
    </w:p>
    <w:p w:rsidR="006941CD" w:rsidRDefault="006941CD" w:rsidP="006941CD"/>
    <w:p w:rsidR="006941CD" w:rsidRDefault="006941CD" w:rsidP="006941CD">
      <w:r>
        <w:rPr>
          <w:b/>
        </w:rPr>
        <w:t xml:space="preserve">Uwaga: </w:t>
      </w:r>
      <w:r>
        <w:t>w Raporcie, opracowanym w oparciu o badania zlecone w aktualnym zadaniu, należy również uwzględnić wyniki uzyskane z badań gleb wykonane na terenie powiatu średzkiego w latach 20</w:t>
      </w:r>
      <w:r w:rsidR="002F7F39">
        <w:t>12 – 2013</w:t>
      </w:r>
      <w:r>
        <w:t>.</w:t>
      </w:r>
    </w:p>
    <w:p w:rsidR="006941CD" w:rsidRDefault="006941CD" w:rsidP="006941CD">
      <w:r>
        <w:lastRenderedPageBreak/>
        <w:t>Lokalizacja punktów badań oraz wyniki badań zostaną pr</w:t>
      </w:r>
      <w:r w:rsidR="00C82CB8">
        <w:t xml:space="preserve">zedstawione na mapie cyfrowej w formacie </w:t>
      </w:r>
      <w:proofErr w:type="spellStart"/>
      <w:r w:rsidR="00C82CB8">
        <w:t>shp</w:t>
      </w:r>
      <w:proofErr w:type="spellEnd"/>
      <w:r w:rsidR="00C82CB8">
        <w:t>. Wykonawca dokona syntezy z uwzględnieniem danych z poprzednich serii badań realizowanych w latach 20</w:t>
      </w:r>
      <w:r w:rsidR="002F7F39">
        <w:t>12</w:t>
      </w:r>
      <w:r w:rsidR="00C82CB8">
        <w:t xml:space="preserve"> – 20</w:t>
      </w:r>
      <w:r w:rsidR="002F7F39">
        <w:t>13</w:t>
      </w:r>
      <w:r w:rsidR="00C82CB8">
        <w:t>, które zostaną udostępnione przez Zamawiającego. Synteza wyników badań obejmie interpolację danych w celu przedstawienia przestrzennej zmienności zawartości poszczególnych metali w pokrywie glebowej. Układ współrzędnych do opracowania kartograficznego „92”, skala 1:50 000</w:t>
      </w:r>
    </w:p>
    <w:p w:rsidR="001E68F9" w:rsidRDefault="001E68F9" w:rsidP="006941CD"/>
    <w:p w:rsidR="001E68F9" w:rsidRDefault="001E68F9" w:rsidP="006941CD">
      <w:r>
        <w:t>Raport z badań w formacie A4, w sztywnej oprawie, należy przekazać Zleceniodawcy:</w:t>
      </w:r>
    </w:p>
    <w:p w:rsidR="001E68F9" w:rsidRDefault="001E68F9" w:rsidP="001E68F9">
      <w:pPr>
        <w:pStyle w:val="Akapitzlist"/>
        <w:numPr>
          <w:ilvl w:val="0"/>
          <w:numId w:val="6"/>
        </w:numPr>
      </w:pPr>
      <w:r>
        <w:t>w formie analogowej – 6 egz.,</w:t>
      </w:r>
    </w:p>
    <w:p w:rsidR="001E68F9" w:rsidRDefault="001E68F9" w:rsidP="001E68F9">
      <w:pPr>
        <w:pStyle w:val="Akapitzlist"/>
        <w:numPr>
          <w:ilvl w:val="0"/>
          <w:numId w:val="6"/>
        </w:numPr>
      </w:pPr>
      <w:r>
        <w:t>w formie elektronicznej na płytach CD – 3 egz.</w:t>
      </w:r>
    </w:p>
    <w:p w:rsidR="001E68F9" w:rsidRDefault="001E68F9" w:rsidP="001E68F9"/>
    <w:p w:rsidR="001E68F9" w:rsidRDefault="001E68F9" w:rsidP="001E68F9">
      <w:r>
        <w:t>Mapy wyników badań:</w:t>
      </w:r>
    </w:p>
    <w:p w:rsidR="001E68F9" w:rsidRDefault="001E68F9" w:rsidP="001E68F9">
      <w:pPr>
        <w:pStyle w:val="Akapitzlist"/>
        <w:numPr>
          <w:ilvl w:val="0"/>
          <w:numId w:val="7"/>
        </w:numPr>
      </w:pPr>
      <w:r>
        <w:t>w raporcie – 6 kompletów,</w:t>
      </w:r>
    </w:p>
    <w:p w:rsidR="001E68F9" w:rsidRPr="006941CD" w:rsidRDefault="001E68F9" w:rsidP="001E68F9">
      <w:pPr>
        <w:pStyle w:val="Akapitzlist"/>
        <w:numPr>
          <w:ilvl w:val="0"/>
          <w:numId w:val="7"/>
        </w:numPr>
      </w:pPr>
      <w:r>
        <w:t>w formacie A0 – 2 komplety, przekazać w formie analogowej oraz w formie elektronicznej na płytach CD – 2 egz.</w:t>
      </w:r>
    </w:p>
    <w:sectPr w:rsidR="001E68F9" w:rsidRPr="006941CD" w:rsidSect="007D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9EA"/>
    <w:multiLevelType w:val="hybridMultilevel"/>
    <w:tmpl w:val="CB76F5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E5EA4"/>
    <w:multiLevelType w:val="hybridMultilevel"/>
    <w:tmpl w:val="D174D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76237"/>
    <w:multiLevelType w:val="hybridMultilevel"/>
    <w:tmpl w:val="755607C8"/>
    <w:lvl w:ilvl="0" w:tplc="F9A862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C479A"/>
    <w:multiLevelType w:val="hybridMultilevel"/>
    <w:tmpl w:val="54247D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151FA7"/>
    <w:multiLevelType w:val="hybridMultilevel"/>
    <w:tmpl w:val="04207B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46C1B"/>
    <w:multiLevelType w:val="hybridMultilevel"/>
    <w:tmpl w:val="4CA24E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531BD8"/>
    <w:multiLevelType w:val="hybridMultilevel"/>
    <w:tmpl w:val="D8DAA8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BA0E28"/>
    <w:multiLevelType w:val="hybridMultilevel"/>
    <w:tmpl w:val="99E42F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456C"/>
    <w:rsid w:val="000245FD"/>
    <w:rsid w:val="000B1F71"/>
    <w:rsid w:val="000D0156"/>
    <w:rsid w:val="001267F5"/>
    <w:rsid w:val="001771FE"/>
    <w:rsid w:val="001E68F9"/>
    <w:rsid w:val="0024310C"/>
    <w:rsid w:val="00265652"/>
    <w:rsid w:val="002F7F39"/>
    <w:rsid w:val="00370E38"/>
    <w:rsid w:val="00420761"/>
    <w:rsid w:val="004F0891"/>
    <w:rsid w:val="00596B17"/>
    <w:rsid w:val="005D16F4"/>
    <w:rsid w:val="00604E0C"/>
    <w:rsid w:val="006941CD"/>
    <w:rsid w:val="006E5BCF"/>
    <w:rsid w:val="0071157A"/>
    <w:rsid w:val="007459C3"/>
    <w:rsid w:val="007765C0"/>
    <w:rsid w:val="00794E1E"/>
    <w:rsid w:val="007D629E"/>
    <w:rsid w:val="008E1912"/>
    <w:rsid w:val="009735BA"/>
    <w:rsid w:val="009A2EA1"/>
    <w:rsid w:val="009E10AE"/>
    <w:rsid w:val="00A13C4A"/>
    <w:rsid w:val="00A52A99"/>
    <w:rsid w:val="00AF17FF"/>
    <w:rsid w:val="00B1611B"/>
    <w:rsid w:val="00B6307B"/>
    <w:rsid w:val="00BB337A"/>
    <w:rsid w:val="00C030B3"/>
    <w:rsid w:val="00C21A86"/>
    <w:rsid w:val="00C82CB8"/>
    <w:rsid w:val="00CA7CCD"/>
    <w:rsid w:val="00CF456C"/>
    <w:rsid w:val="00D70D07"/>
    <w:rsid w:val="00E90B6D"/>
    <w:rsid w:val="00ED6C2A"/>
    <w:rsid w:val="00F15579"/>
    <w:rsid w:val="00F232FA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F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245FD"/>
    <w:pPr>
      <w:spacing w:after="300"/>
      <w:ind w:firstLine="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5FD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pl-PL"/>
    </w:rPr>
  </w:style>
  <w:style w:type="paragraph" w:styleId="Bezodstpw">
    <w:name w:val="No Spacing"/>
    <w:uiPriority w:val="1"/>
    <w:qFormat/>
    <w:rsid w:val="00CF456C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CF456C"/>
    <w:pPr>
      <w:ind w:left="720"/>
      <w:contextualSpacing/>
    </w:pPr>
  </w:style>
  <w:style w:type="table" w:styleId="Tabela-Siatka">
    <w:name w:val="Table Grid"/>
    <w:basedOn w:val="Standardowy"/>
    <w:uiPriority w:val="59"/>
    <w:rsid w:val="009A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basedOn w:val="Domylnaczcionkaakapitu"/>
    <w:rsid w:val="00C21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402C-AF26-49DB-AC12-76584FFE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pirek</dc:creator>
  <cp:lastModifiedBy>Edyta Ziemichód</cp:lastModifiedBy>
  <cp:revision>26</cp:revision>
  <cp:lastPrinted>2012-10-11T07:16:00Z</cp:lastPrinted>
  <dcterms:created xsi:type="dcterms:W3CDTF">2012-09-03T10:39:00Z</dcterms:created>
  <dcterms:modified xsi:type="dcterms:W3CDTF">2017-09-19T12:41:00Z</dcterms:modified>
</cp:coreProperties>
</file>